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3C" w:rsidRDefault="002D273C">
      <w:pPr>
        <w:spacing w:line="560" w:lineRule="exact"/>
        <w:jc w:val="center"/>
        <w:rPr>
          <w:rFonts w:ascii="方正小标宋简体" w:eastAsia="方正小标宋简体" w:hAnsi="黑体"/>
          <w:bCs/>
          <w:sz w:val="44"/>
          <w:szCs w:val="44"/>
        </w:rPr>
      </w:pPr>
    </w:p>
    <w:p w:rsidR="002D273C" w:rsidRDefault="00BA7E2A">
      <w:pPr>
        <w:spacing w:line="560" w:lineRule="exact"/>
        <w:jc w:val="center"/>
        <w:rPr>
          <w:rFonts w:ascii="方正小标宋简体" w:eastAsia="方正小标宋简体" w:hAnsi="黑体" w:cs="华文中宋"/>
          <w:bCs/>
          <w:sz w:val="44"/>
          <w:szCs w:val="44"/>
        </w:rPr>
      </w:pPr>
      <w:r>
        <w:rPr>
          <w:rFonts w:ascii="方正小标宋简体" w:eastAsia="方正小标宋简体" w:hAnsi="黑体" w:hint="eastAsia"/>
          <w:bCs/>
          <w:sz w:val="44"/>
          <w:szCs w:val="44"/>
        </w:rPr>
        <w:t>2018</w:t>
      </w:r>
      <w:r>
        <w:rPr>
          <w:rFonts w:ascii="方正小标宋简体" w:eastAsia="方正小标宋简体" w:hAnsi="黑体" w:cs="华文中宋" w:hint="eastAsia"/>
          <w:bCs/>
          <w:sz w:val="44"/>
          <w:szCs w:val="44"/>
        </w:rPr>
        <w:t>年全省法院行政案件司法审查报告</w:t>
      </w:r>
    </w:p>
    <w:p w:rsidR="002D273C" w:rsidRDefault="002D273C">
      <w:pPr>
        <w:spacing w:line="560" w:lineRule="exact"/>
        <w:rPr>
          <w:rFonts w:ascii="楷体_GB2312" w:eastAsia="楷体_GB2312" w:hAnsi="黑体" w:cs="华文中宋"/>
          <w:bCs/>
          <w:sz w:val="32"/>
          <w:szCs w:val="32"/>
        </w:rPr>
      </w:pPr>
    </w:p>
    <w:p w:rsidR="002D273C" w:rsidRDefault="00BA7E2A">
      <w:pPr>
        <w:spacing w:line="600" w:lineRule="exact"/>
        <w:ind w:firstLineChars="200" w:firstLine="640"/>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全省法院坚持以习近平新时代中国特色社会主义思想为指导，全面贯彻落实党的十九大和十九届二中、三中全会精神，紧紧围绕“努力让人民群众在每一个司法案件中感受到公平正义”的目标，依法履行司法审查职责，着力促进行政争议实质性化解，维护人民群众合法权益，监督行政机关依法行使职权，为新时代现代化强省建设提供了有力司法保障。</w:t>
      </w:r>
    </w:p>
    <w:p w:rsidR="002D273C" w:rsidRDefault="00BA7E2A">
      <w:pPr>
        <w:spacing w:line="600" w:lineRule="exact"/>
        <w:ind w:firstLineChars="200" w:firstLine="640"/>
        <w:rPr>
          <w:rFonts w:ascii="黑体" w:eastAsia="黑体" w:hAnsi="黑体"/>
          <w:sz w:val="32"/>
          <w:szCs w:val="32"/>
        </w:rPr>
      </w:pPr>
      <w:r>
        <w:rPr>
          <w:rFonts w:ascii="黑体" w:eastAsia="黑体" w:hAnsi="黑体" w:hint="eastAsia"/>
          <w:sz w:val="32"/>
          <w:szCs w:val="32"/>
        </w:rPr>
        <w:t>一、司法审查基本情况</w:t>
      </w:r>
    </w:p>
    <w:p w:rsidR="002D273C" w:rsidRDefault="00BA7E2A">
      <w:pPr>
        <w:spacing w:line="600" w:lineRule="exact"/>
        <w:ind w:firstLineChars="200" w:firstLine="640"/>
        <w:rPr>
          <w:rFonts w:ascii="楷体_GB2312" w:eastAsia="楷体_GB2312" w:hAnsi="楷体"/>
          <w:bCs/>
          <w:sz w:val="32"/>
          <w:szCs w:val="32"/>
        </w:rPr>
      </w:pPr>
      <w:r>
        <w:rPr>
          <w:rFonts w:ascii="楷体_GB2312" w:eastAsia="楷体_GB2312" w:hAnsi="楷体" w:hint="eastAsia"/>
          <w:bCs/>
          <w:sz w:val="32"/>
          <w:szCs w:val="32"/>
        </w:rPr>
        <w:t>（一）收结案数量持续上升</w:t>
      </w:r>
    </w:p>
    <w:p w:rsidR="002D273C" w:rsidRDefault="00BA7E2A">
      <w:pPr>
        <w:spacing w:line="600" w:lineRule="exact"/>
        <w:ind w:firstLineChars="200" w:firstLine="640"/>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年，全省法院共新收各类行政诉讼案件</w:t>
      </w:r>
      <w:r>
        <w:rPr>
          <w:rFonts w:ascii="仿宋_GB2312" w:eastAsia="仿宋_GB2312" w:hint="eastAsia"/>
          <w:sz w:val="32"/>
          <w:szCs w:val="32"/>
        </w:rPr>
        <w:t>27577</w:t>
      </w:r>
      <w:r>
        <w:rPr>
          <w:rFonts w:ascii="仿宋_GB2312" w:eastAsia="仿宋_GB2312" w:hint="eastAsia"/>
          <w:sz w:val="32"/>
          <w:szCs w:val="32"/>
        </w:rPr>
        <w:t>件，审结</w:t>
      </w:r>
      <w:r>
        <w:rPr>
          <w:rFonts w:ascii="仿宋_GB2312" w:eastAsia="仿宋_GB2312" w:hint="eastAsia"/>
          <w:sz w:val="32"/>
          <w:szCs w:val="32"/>
        </w:rPr>
        <w:t>24941</w:t>
      </w:r>
      <w:r>
        <w:rPr>
          <w:rFonts w:ascii="仿宋_GB2312" w:eastAsia="仿宋_GB2312" w:hint="eastAsia"/>
          <w:sz w:val="32"/>
          <w:szCs w:val="32"/>
        </w:rPr>
        <w:t>件，同比分别上升</w:t>
      </w:r>
      <w:r>
        <w:rPr>
          <w:rFonts w:ascii="仿宋_GB2312" w:eastAsia="仿宋_GB2312" w:hint="eastAsia"/>
          <w:sz w:val="32"/>
          <w:szCs w:val="32"/>
        </w:rPr>
        <w:t>20.1%</w:t>
      </w:r>
      <w:r>
        <w:rPr>
          <w:rFonts w:ascii="仿宋_GB2312" w:eastAsia="仿宋_GB2312" w:hint="eastAsia"/>
          <w:sz w:val="32"/>
          <w:szCs w:val="32"/>
        </w:rPr>
        <w:t>和</w:t>
      </w:r>
      <w:r>
        <w:rPr>
          <w:rFonts w:ascii="仿宋_GB2312" w:eastAsia="仿宋_GB2312" w:hint="eastAsia"/>
          <w:sz w:val="32"/>
          <w:szCs w:val="32"/>
        </w:rPr>
        <w:t>10%</w:t>
      </w:r>
      <w:r>
        <w:rPr>
          <w:rFonts w:ascii="仿宋_GB2312" w:eastAsia="仿宋_GB2312" w:hint="eastAsia"/>
          <w:sz w:val="32"/>
          <w:szCs w:val="32"/>
        </w:rPr>
        <w:t>。其中，新收一审案件</w:t>
      </w:r>
      <w:r>
        <w:rPr>
          <w:rFonts w:ascii="仿宋_GB2312" w:eastAsia="仿宋_GB2312" w:hint="eastAsia"/>
          <w:sz w:val="32"/>
          <w:szCs w:val="32"/>
        </w:rPr>
        <w:t>17571</w:t>
      </w:r>
      <w:r>
        <w:rPr>
          <w:rFonts w:ascii="仿宋_GB2312" w:eastAsia="仿宋_GB2312" w:hint="eastAsia"/>
          <w:sz w:val="32"/>
          <w:szCs w:val="32"/>
        </w:rPr>
        <w:t>件，审结</w:t>
      </w:r>
      <w:r>
        <w:rPr>
          <w:rFonts w:ascii="仿宋_GB2312" w:eastAsia="仿宋_GB2312" w:hint="eastAsia"/>
          <w:sz w:val="32"/>
          <w:szCs w:val="32"/>
        </w:rPr>
        <w:t>16373</w:t>
      </w:r>
      <w:r>
        <w:rPr>
          <w:rFonts w:ascii="仿宋_GB2312" w:eastAsia="仿宋_GB2312" w:hint="eastAsia"/>
          <w:sz w:val="32"/>
          <w:szCs w:val="32"/>
        </w:rPr>
        <w:t>件，分别上升</w:t>
      </w:r>
      <w:r>
        <w:rPr>
          <w:rFonts w:ascii="仿宋_GB2312" w:eastAsia="仿宋_GB2312" w:hint="eastAsia"/>
          <w:sz w:val="32"/>
          <w:szCs w:val="32"/>
        </w:rPr>
        <w:t>18.9%</w:t>
      </w:r>
      <w:r>
        <w:rPr>
          <w:rFonts w:ascii="仿宋_GB2312" w:eastAsia="仿宋_GB2312" w:hint="eastAsia"/>
          <w:sz w:val="32"/>
          <w:szCs w:val="32"/>
        </w:rPr>
        <w:t>和</w:t>
      </w:r>
      <w:r>
        <w:rPr>
          <w:rFonts w:ascii="仿宋_GB2312" w:eastAsia="仿宋_GB2312" w:hint="eastAsia"/>
          <w:sz w:val="32"/>
          <w:szCs w:val="32"/>
        </w:rPr>
        <w:t>8.6%</w:t>
      </w:r>
      <w:r>
        <w:rPr>
          <w:rFonts w:ascii="仿宋_GB2312" w:eastAsia="仿宋_GB2312" w:hint="eastAsia"/>
          <w:sz w:val="32"/>
          <w:szCs w:val="32"/>
        </w:rPr>
        <w:t>；新收二审案件</w:t>
      </w:r>
      <w:r>
        <w:rPr>
          <w:rFonts w:ascii="仿宋_GB2312" w:eastAsia="仿宋_GB2312" w:hint="eastAsia"/>
          <w:sz w:val="32"/>
          <w:szCs w:val="32"/>
        </w:rPr>
        <w:t>7822</w:t>
      </w:r>
      <w:r>
        <w:rPr>
          <w:rFonts w:ascii="仿宋_GB2312" w:eastAsia="仿宋_GB2312" w:hint="eastAsia"/>
          <w:sz w:val="32"/>
          <w:szCs w:val="32"/>
        </w:rPr>
        <w:t>件，审结</w:t>
      </w:r>
      <w:r>
        <w:rPr>
          <w:rFonts w:ascii="仿宋_GB2312" w:eastAsia="仿宋_GB2312" w:hint="eastAsia"/>
          <w:sz w:val="32"/>
          <w:szCs w:val="32"/>
        </w:rPr>
        <w:t>6884</w:t>
      </w:r>
      <w:r>
        <w:rPr>
          <w:rFonts w:ascii="仿宋_GB2312" w:eastAsia="仿宋_GB2312" w:hint="eastAsia"/>
          <w:sz w:val="32"/>
          <w:szCs w:val="32"/>
        </w:rPr>
        <w:t>件，分别上升</w:t>
      </w:r>
      <w:r>
        <w:rPr>
          <w:rFonts w:ascii="仿宋_GB2312" w:eastAsia="仿宋_GB2312" w:hint="eastAsia"/>
          <w:sz w:val="32"/>
          <w:szCs w:val="32"/>
        </w:rPr>
        <w:t>13.5%</w:t>
      </w:r>
      <w:r>
        <w:rPr>
          <w:rFonts w:ascii="仿宋_GB2312" w:eastAsia="仿宋_GB2312" w:hint="eastAsia"/>
          <w:sz w:val="32"/>
          <w:szCs w:val="32"/>
        </w:rPr>
        <w:t>和</w:t>
      </w:r>
      <w:r>
        <w:rPr>
          <w:rFonts w:ascii="仿宋_GB2312" w:eastAsia="仿宋_GB2312" w:hint="eastAsia"/>
          <w:sz w:val="32"/>
          <w:szCs w:val="32"/>
        </w:rPr>
        <w:t>8.1%</w:t>
      </w:r>
      <w:r>
        <w:rPr>
          <w:rFonts w:ascii="仿宋_GB2312" w:eastAsia="仿宋_GB2312" w:hint="eastAsia"/>
          <w:sz w:val="32"/>
          <w:szCs w:val="32"/>
        </w:rPr>
        <w:t>；新收申请再审和再审案件</w:t>
      </w:r>
      <w:r>
        <w:rPr>
          <w:rFonts w:ascii="仿宋_GB2312" w:eastAsia="仿宋_GB2312" w:hint="eastAsia"/>
          <w:sz w:val="32"/>
          <w:szCs w:val="32"/>
        </w:rPr>
        <w:t>2184</w:t>
      </w:r>
      <w:r>
        <w:rPr>
          <w:rFonts w:ascii="仿宋_GB2312" w:eastAsia="仿宋_GB2312" w:hint="eastAsia"/>
          <w:sz w:val="32"/>
          <w:szCs w:val="32"/>
        </w:rPr>
        <w:t>件，审结</w:t>
      </w:r>
      <w:r>
        <w:rPr>
          <w:rFonts w:ascii="仿宋_GB2312" w:eastAsia="仿宋_GB2312" w:hint="eastAsia"/>
          <w:sz w:val="32"/>
          <w:szCs w:val="32"/>
        </w:rPr>
        <w:t>1684</w:t>
      </w:r>
      <w:r>
        <w:rPr>
          <w:rFonts w:ascii="仿宋_GB2312" w:eastAsia="仿宋_GB2312" w:hint="eastAsia"/>
          <w:sz w:val="32"/>
          <w:szCs w:val="32"/>
        </w:rPr>
        <w:t>件，分别上升</w:t>
      </w:r>
      <w:r>
        <w:rPr>
          <w:rFonts w:ascii="仿宋_GB2312" w:eastAsia="仿宋_GB2312" w:hint="eastAsia"/>
          <w:sz w:val="32"/>
          <w:szCs w:val="32"/>
        </w:rPr>
        <w:t>68.3%</w:t>
      </w:r>
      <w:r>
        <w:rPr>
          <w:rFonts w:ascii="仿宋_GB2312" w:eastAsia="仿宋_GB2312" w:hint="eastAsia"/>
          <w:sz w:val="32"/>
          <w:szCs w:val="32"/>
        </w:rPr>
        <w:t>和</w:t>
      </w:r>
      <w:r>
        <w:rPr>
          <w:rFonts w:ascii="仿宋_GB2312" w:eastAsia="仿宋_GB2312" w:hint="eastAsia"/>
          <w:sz w:val="32"/>
          <w:szCs w:val="32"/>
        </w:rPr>
        <w:t>37.2%</w:t>
      </w:r>
      <w:r>
        <w:rPr>
          <w:rFonts w:ascii="仿宋_GB2312" w:eastAsia="仿宋_GB2312" w:hint="eastAsia"/>
          <w:sz w:val="32"/>
          <w:szCs w:val="32"/>
        </w:rPr>
        <w:t>。</w:t>
      </w:r>
    </w:p>
    <w:p w:rsidR="002D273C" w:rsidRDefault="00BA7E2A">
      <w:pPr>
        <w:spacing w:line="600" w:lineRule="exact"/>
        <w:ind w:firstLineChars="200" w:firstLine="640"/>
        <w:rPr>
          <w:rFonts w:ascii="仿宋_GB2312" w:eastAsia="仿宋_GB2312"/>
          <w:sz w:val="32"/>
          <w:szCs w:val="32"/>
        </w:rPr>
      </w:pPr>
      <w:r>
        <w:rPr>
          <w:rFonts w:ascii="仿宋_GB2312" w:eastAsia="仿宋_GB2312" w:hint="eastAsia"/>
          <w:sz w:val="32"/>
          <w:szCs w:val="32"/>
        </w:rPr>
        <w:t>另外，受理行政非诉案件</w:t>
      </w:r>
      <w:r>
        <w:rPr>
          <w:rFonts w:ascii="仿宋_GB2312" w:eastAsia="仿宋_GB2312" w:hint="eastAsia"/>
          <w:sz w:val="32"/>
          <w:szCs w:val="32"/>
        </w:rPr>
        <w:t>24432</w:t>
      </w:r>
      <w:r>
        <w:rPr>
          <w:rFonts w:ascii="仿宋_GB2312" w:eastAsia="仿宋_GB2312" w:hint="eastAsia"/>
          <w:sz w:val="32"/>
          <w:szCs w:val="32"/>
        </w:rPr>
        <w:t>件，同比上升</w:t>
      </w:r>
      <w:r>
        <w:rPr>
          <w:rFonts w:ascii="仿宋_GB2312" w:eastAsia="仿宋_GB2312" w:hint="eastAsia"/>
          <w:sz w:val="32"/>
          <w:szCs w:val="32"/>
        </w:rPr>
        <w:t>19.4%</w:t>
      </w:r>
      <w:r>
        <w:rPr>
          <w:rFonts w:ascii="仿宋_GB2312" w:eastAsia="仿宋_GB2312" w:hint="eastAsia"/>
          <w:sz w:val="32"/>
          <w:szCs w:val="32"/>
        </w:rPr>
        <w:t>。审查</w:t>
      </w:r>
      <w:r>
        <w:rPr>
          <w:rFonts w:ascii="仿宋_GB2312" w:eastAsia="仿宋_GB2312" w:hint="eastAsia"/>
          <w:sz w:val="32"/>
          <w:szCs w:val="32"/>
        </w:rPr>
        <w:t>24451</w:t>
      </w:r>
      <w:r>
        <w:rPr>
          <w:rFonts w:ascii="仿宋_GB2312" w:eastAsia="仿宋_GB2312" w:hint="eastAsia"/>
          <w:sz w:val="32"/>
          <w:szCs w:val="32"/>
        </w:rPr>
        <w:t>件，其中裁定准予执行</w:t>
      </w:r>
      <w:r>
        <w:rPr>
          <w:rFonts w:ascii="仿宋_GB2312" w:eastAsia="仿宋_GB2312" w:hint="eastAsia"/>
          <w:sz w:val="32"/>
          <w:szCs w:val="32"/>
        </w:rPr>
        <w:t>21599</w:t>
      </w:r>
      <w:r>
        <w:rPr>
          <w:rFonts w:ascii="仿宋_GB2312" w:eastAsia="仿宋_GB2312" w:hint="eastAsia"/>
          <w:sz w:val="32"/>
          <w:szCs w:val="32"/>
        </w:rPr>
        <w:t>件，不准予执行</w:t>
      </w:r>
      <w:r>
        <w:rPr>
          <w:rFonts w:ascii="仿宋_GB2312" w:eastAsia="仿宋_GB2312" w:hint="eastAsia"/>
          <w:sz w:val="32"/>
          <w:szCs w:val="32"/>
        </w:rPr>
        <w:t>789</w:t>
      </w:r>
      <w:r>
        <w:rPr>
          <w:rFonts w:ascii="仿宋_GB2312" w:eastAsia="仿宋_GB2312" w:hint="eastAsia"/>
          <w:sz w:val="32"/>
          <w:szCs w:val="32"/>
        </w:rPr>
        <w:t>件，</w:t>
      </w:r>
      <w:r>
        <w:rPr>
          <w:rFonts w:ascii="仿宋_GB2312" w:eastAsia="仿宋_GB2312" w:hint="eastAsia"/>
          <w:sz w:val="32"/>
          <w:szCs w:val="32"/>
        </w:rPr>
        <w:t xml:space="preserve"> </w:t>
      </w:r>
      <w:r>
        <w:rPr>
          <w:rFonts w:ascii="仿宋_GB2312" w:eastAsia="仿宋_GB2312" w:hint="eastAsia"/>
          <w:sz w:val="32"/>
          <w:szCs w:val="32"/>
        </w:rPr>
        <w:t>撤回申请等其他方式结案</w:t>
      </w:r>
      <w:r>
        <w:rPr>
          <w:rFonts w:ascii="仿宋_GB2312" w:eastAsia="仿宋_GB2312" w:hint="eastAsia"/>
          <w:sz w:val="32"/>
          <w:szCs w:val="32"/>
        </w:rPr>
        <w:t>2063</w:t>
      </w:r>
      <w:r>
        <w:rPr>
          <w:rFonts w:ascii="仿宋_GB2312" w:eastAsia="仿宋_GB2312" w:hint="eastAsia"/>
          <w:sz w:val="32"/>
          <w:szCs w:val="32"/>
        </w:rPr>
        <w:t>件，准予执行率</w:t>
      </w:r>
      <w:r>
        <w:rPr>
          <w:rFonts w:ascii="仿宋_GB2312" w:eastAsia="仿宋_GB2312" w:hint="eastAsia"/>
          <w:sz w:val="32"/>
          <w:szCs w:val="32"/>
        </w:rPr>
        <w:t>88.3%</w:t>
      </w:r>
      <w:r>
        <w:rPr>
          <w:rFonts w:ascii="仿宋_GB2312" w:eastAsia="仿宋_GB2312" w:hint="eastAsia"/>
          <w:sz w:val="32"/>
          <w:szCs w:val="32"/>
        </w:rPr>
        <w:t>。</w:t>
      </w:r>
    </w:p>
    <w:p w:rsidR="002D273C" w:rsidRDefault="002D273C">
      <w:pPr>
        <w:spacing w:line="560" w:lineRule="exact"/>
        <w:jc w:val="center"/>
        <w:rPr>
          <w:rFonts w:ascii="黑体" w:eastAsia="黑体" w:hAnsi="黑体"/>
          <w:sz w:val="28"/>
          <w:szCs w:val="28"/>
        </w:rPr>
      </w:pPr>
    </w:p>
    <w:p w:rsidR="002D273C" w:rsidRDefault="002D273C">
      <w:pPr>
        <w:spacing w:line="560" w:lineRule="exact"/>
        <w:rPr>
          <w:rFonts w:ascii="黑体" w:eastAsia="黑体" w:hAnsi="黑体"/>
          <w:sz w:val="28"/>
          <w:szCs w:val="28"/>
        </w:rPr>
      </w:pPr>
    </w:p>
    <w:p w:rsidR="002D273C" w:rsidRDefault="00BA7E2A">
      <w:pPr>
        <w:spacing w:line="560" w:lineRule="exact"/>
        <w:jc w:val="center"/>
        <w:rPr>
          <w:rFonts w:ascii="黑体" w:eastAsia="黑体" w:hAnsi="黑体"/>
          <w:sz w:val="30"/>
          <w:szCs w:val="30"/>
        </w:rPr>
      </w:pPr>
      <w:r>
        <w:rPr>
          <w:rFonts w:ascii="黑体" w:eastAsia="黑体" w:hAnsi="黑体" w:hint="eastAsia"/>
          <w:sz w:val="30"/>
          <w:szCs w:val="30"/>
        </w:rPr>
        <w:lastRenderedPageBreak/>
        <w:t>图一</w:t>
      </w:r>
      <w:r>
        <w:rPr>
          <w:rFonts w:ascii="黑体" w:eastAsia="黑体" w:hAnsi="黑体" w:hint="eastAsia"/>
          <w:sz w:val="30"/>
          <w:szCs w:val="30"/>
        </w:rPr>
        <w:t xml:space="preserve">  2018</w:t>
      </w:r>
      <w:r>
        <w:rPr>
          <w:rFonts w:ascii="黑体" w:eastAsia="黑体" w:hAnsi="黑体" w:hint="eastAsia"/>
          <w:sz w:val="30"/>
          <w:szCs w:val="30"/>
        </w:rPr>
        <w:t>年全省法院行政案件收案审级情况</w:t>
      </w:r>
    </w:p>
    <w:p w:rsidR="002D273C" w:rsidRDefault="002D273C">
      <w:pPr>
        <w:spacing w:line="240" w:lineRule="exact"/>
        <w:jc w:val="center"/>
        <w:rPr>
          <w:rFonts w:ascii="黑体" w:eastAsia="黑体" w:hAnsi="黑体"/>
          <w:sz w:val="30"/>
          <w:szCs w:val="30"/>
        </w:rPr>
      </w:pPr>
    </w:p>
    <w:p w:rsidR="002D273C" w:rsidRDefault="00BA7E2A">
      <w:pPr>
        <w:ind w:firstLineChars="200" w:firstLine="420"/>
        <w:jc w:val="center"/>
        <w:rPr>
          <w:rFonts w:ascii="黑体" w:eastAsia="黑体" w:hAnsi="黑体"/>
          <w:szCs w:val="32"/>
        </w:rPr>
      </w:pPr>
      <w:r>
        <w:rPr>
          <w:rFonts w:ascii="黑体" w:eastAsia="黑体" w:hAnsi="黑体"/>
          <w:noProof/>
          <w:szCs w:val="32"/>
        </w:rPr>
        <w:drawing>
          <wp:inline distT="0" distB="0" distL="0" distR="0">
            <wp:extent cx="5400675" cy="2707005"/>
            <wp:effectExtent l="4445" t="4445" r="5080" b="1270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D273C" w:rsidRDefault="002D273C">
      <w:pPr>
        <w:spacing w:line="560" w:lineRule="exact"/>
        <w:rPr>
          <w:rFonts w:ascii="楷体_GB2312" w:eastAsia="楷体_GB2312"/>
          <w:sz w:val="32"/>
          <w:szCs w:val="32"/>
        </w:rPr>
      </w:pPr>
    </w:p>
    <w:p w:rsidR="002D273C" w:rsidRDefault="00BA7E2A">
      <w:pPr>
        <w:spacing w:line="600" w:lineRule="exact"/>
        <w:ind w:firstLineChars="200" w:firstLine="640"/>
        <w:rPr>
          <w:rFonts w:ascii="楷体_GB2312" w:eastAsia="楷体_GB2312"/>
          <w:sz w:val="32"/>
          <w:szCs w:val="32"/>
        </w:rPr>
      </w:pPr>
      <w:r>
        <w:rPr>
          <w:rFonts w:ascii="楷体_GB2312" w:eastAsia="楷体_GB2312" w:hint="eastAsia"/>
          <w:sz w:val="32"/>
          <w:szCs w:val="32"/>
        </w:rPr>
        <w:t>（二）行政案件涉及管理范围广泛，公安等领域案件量占比较大</w:t>
      </w:r>
    </w:p>
    <w:p w:rsidR="002D273C" w:rsidRDefault="00BA7E2A">
      <w:pPr>
        <w:spacing w:line="600" w:lineRule="exact"/>
        <w:ind w:firstLineChars="200" w:firstLine="640"/>
        <w:rPr>
          <w:rFonts w:ascii="仿宋_GB2312" w:eastAsia="仿宋_GB2312"/>
          <w:sz w:val="32"/>
          <w:szCs w:val="32"/>
        </w:rPr>
      </w:pPr>
      <w:r>
        <w:rPr>
          <w:rFonts w:ascii="仿宋_GB2312" w:eastAsia="仿宋_GB2312" w:hint="eastAsia"/>
          <w:sz w:val="32"/>
          <w:szCs w:val="32"/>
        </w:rPr>
        <w:t>在司法统计的</w:t>
      </w:r>
      <w:r>
        <w:rPr>
          <w:rFonts w:ascii="仿宋_GB2312" w:eastAsia="仿宋_GB2312" w:hint="eastAsia"/>
          <w:sz w:val="32"/>
          <w:szCs w:val="32"/>
        </w:rPr>
        <w:t>41</w:t>
      </w:r>
      <w:r>
        <w:rPr>
          <w:rFonts w:ascii="仿宋_GB2312" w:eastAsia="仿宋_GB2312" w:hint="eastAsia"/>
          <w:sz w:val="32"/>
          <w:szCs w:val="32"/>
        </w:rPr>
        <w:t>个行政管理范围中，</w:t>
      </w:r>
      <w:r>
        <w:rPr>
          <w:rFonts w:ascii="仿宋_GB2312" w:eastAsia="仿宋_GB2312" w:hint="eastAsia"/>
          <w:sz w:val="32"/>
          <w:szCs w:val="32"/>
        </w:rPr>
        <w:t>2018</w:t>
      </w:r>
      <w:r>
        <w:rPr>
          <w:rFonts w:ascii="仿宋_GB2312" w:eastAsia="仿宋_GB2312" w:hint="eastAsia"/>
          <w:sz w:val="32"/>
          <w:szCs w:val="32"/>
        </w:rPr>
        <w:t>年受理的行政案件涉及</w:t>
      </w:r>
      <w:r>
        <w:rPr>
          <w:rFonts w:ascii="仿宋_GB2312" w:eastAsia="仿宋_GB2312" w:hint="eastAsia"/>
          <w:sz w:val="32"/>
          <w:szCs w:val="32"/>
        </w:rPr>
        <w:t>35</w:t>
      </w:r>
      <w:r>
        <w:rPr>
          <w:rFonts w:ascii="仿宋_GB2312" w:eastAsia="仿宋_GB2312" w:hint="eastAsia"/>
          <w:sz w:val="32"/>
          <w:szCs w:val="32"/>
        </w:rPr>
        <w:t>个管理范围，但案件主要集中在公安（</w:t>
      </w:r>
      <w:r>
        <w:rPr>
          <w:rFonts w:ascii="仿宋_GB2312" w:eastAsia="仿宋_GB2312" w:hint="eastAsia"/>
          <w:sz w:val="32"/>
          <w:szCs w:val="32"/>
        </w:rPr>
        <w:t>2110</w:t>
      </w:r>
      <w:r>
        <w:rPr>
          <w:rFonts w:ascii="仿宋_GB2312" w:eastAsia="仿宋_GB2312" w:hint="eastAsia"/>
          <w:sz w:val="32"/>
          <w:szCs w:val="32"/>
        </w:rPr>
        <w:t>件）、因征收产生的强制拆除（</w:t>
      </w:r>
      <w:r>
        <w:rPr>
          <w:rFonts w:ascii="仿宋_GB2312" w:eastAsia="仿宋_GB2312" w:hint="eastAsia"/>
          <w:sz w:val="32"/>
          <w:szCs w:val="32"/>
        </w:rPr>
        <w:t>1983</w:t>
      </w:r>
      <w:r>
        <w:rPr>
          <w:rFonts w:ascii="仿宋_GB2312" w:eastAsia="仿宋_GB2312" w:hint="eastAsia"/>
          <w:sz w:val="32"/>
          <w:szCs w:val="32"/>
        </w:rPr>
        <w:t>件）、劳动和社会保障（</w:t>
      </w:r>
      <w:r>
        <w:rPr>
          <w:rFonts w:ascii="仿宋_GB2312" w:eastAsia="仿宋_GB2312" w:hint="eastAsia"/>
          <w:sz w:val="32"/>
          <w:szCs w:val="32"/>
        </w:rPr>
        <w:t>1803</w:t>
      </w:r>
      <w:r>
        <w:rPr>
          <w:rFonts w:ascii="仿宋_GB2312" w:eastAsia="仿宋_GB2312" w:hint="eastAsia"/>
          <w:sz w:val="32"/>
          <w:szCs w:val="32"/>
        </w:rPr>
        <w:t>件）、集体土地征收（</w:t>
      </w:r>
      <w:r>
        <w:rPr>
          <w:rFonts w:ascii="仿宋_GB2312" w:eastAsia="仿宋_GB2312" w:hint="eastAsia"/>
          <w:sz w:val="32"/>
          <w:szCs w:val="32"/>
        </w:rPr>
        <w:t>1597</w:t>
      </w:r>
      <w:r>
        <w:rPr>
          <w:rFonts w:ascii="仿宋_GB2312" w:eastAsia="仿宋_GB2312" w:hint="eastAsia"/>
          <w:sz w:val="32"/>
          <w:szCs w:val="32"/>
        </w:rPr>
        <w:t>件）、国有土地上房屋征收（</w:t>
      </w:r>
      <w:r>
        <w:rPr>
          <w:rFonts w:ascii="仿宋_GB2312" w:eastAsia="仿宋_GB2312" w:hint="eastAsia"/>
          <w:sz w:val="32"/>
          <w:szCs w:val="32"/>
        </w:rPr>
        <w:t>1101</w:t>
      </w:r>
      <w:r>
        <w:rPr>
          <w:rFonts w:ascii="仿宋_GB2312" w:eastAsia="仿宋_GB2312" w:hint="eastAsia"/>
          <w:sz w:val="32"/>
          <w:szCs w:val="32"/>
        </w:rPr>
        <w:t>件）和拆违拆临（</w:t>
      </w:r>
      <w:r>
        <w:rPr>
          <w:rFonts w:ascii="仿宋_GB2312" w:eastAsia="仿宋_GB2312" w:hint="eastAsia"/>
          <w:sz w:val="32"/>
          <w:szCs w:val="32"/>
        </w:rPr>
        <w:t>1096</w:t>
      </w:r>
      <w:r>
        <w:rPr>
          <w:rFonts w:ascii="仿宋_GB2312" w:eastAsia="仿宋_GB2312" w:hint="eastAsia"/>
          <w:sz w:val="32"/>
          <w:szCs w:val="32"/>
        </w:rPr>
        <w:t>件）六个领域，占一审收案数的</w:t>
      </w:r>
      <w:r>
        <w:rPr>
          <w:rFonts w:ascii="仿宋_GB2312" w:eastAsia="仿宋_GB2312" w:hint="eastAsia"/>
          <w:sz w:val="32"/>
          <w:szCs w:val="32"/>
        </w:rPr>
        <w:t>55.1%</w:t>
      </w:r>
      <w:r>
        <w:rPr>
          <w:rFonts w:ascii="仿宋_GB2312" w:eastAsia="仿宋_GB2312" w:hint="eastAsia"/>
          <w:sz w:val="32"/>
          <w:szCs w:val="32"/>
        </w:rPr>
        <w:t>。案件增幅较大的领域是环境资源保护（</w:t>
      </w:r>
      <w:r>
        <w:rPr>
          <w:rFonts w:ascii="仿宋_GB2312" w:eastAsia="仿宋_GB2312" w:hint="eastAsia"/>
          <w:sz w:val="32"/>
          <w:szCs w:val="32"/>
        </w:rPr>
        <w:t>103%</w:t>
      </w:r>
      <w:r>
        <w:rPr>
          <w:rFonts w:ascii="仿宋_GB2312" w:eastAsia="仿宋_GB2312" w:hint="eastAsia"/>
          <w:sz w:val="32"/>
          <w:szCs w:val="32"/>
        </w:rPr>
        <w:t>）、集体土地征收（</w:t>
      </w:r>
      <w:r>
        <w:rPr>
          <w:rFonts w:ascii="仿宋_GB2312" w:eastAsia="仿宋_GB2312" w:hint="eastAsia"/>
          <w:sz w:val="32"/>
          <w:szCs w:val="32"/>
        </w:rPr>
        <w:t>74.7%</w:t>
      </w:r>
      <w:r>
        <w:rPr>
          <w:rFonts w:ascii="仿宋_GB2312" w:eastAsia="仿宋_GB2312" w:hint="eastAsia"/>
          <w:sz w:val="32"/>
          <w:szCs w:val="32"/>
        </w:rPr>
        <w:t>）、因征收产生的强制拆除（</w:t>
      </w:r>
      <w:r>
        <w:rPr>
          <w:rFonts w:ascii="仿宋_GB2312" w:eastAsia="仿宋_GB2312" w:hint="eastAsia"/>
          <w:sz w:val="32"/>
          <w:szCs w:val="32"/>
        </w:rPr>
        <w:t>50%</w:t>
      </w:r>
      <w:r>
        <w:rPr>
          <w:rFonts w:ascii="仿宋_GB2312" w:eastAsia="仿宋_GB2312" w:hint="eastAsia"/>
          <w:sz w:val="32"/>
          <w:szCs w:val="32"/>
        </w:rPr>
        <w:t>）、劳动和社会保障（</w:t>
      </w:r>
      <w:r>
        <w:rPr>
          <w:rFonts w:ascii="仿宋_GB2312" w:eastAsia="仿宋_GB2312" w:hint="eastAsia"/>
          <w:sz w:val="32"/>
          <w:szCs w:val="32"/>
        </w:rPr>
        <w:t>20.8%</w:t>
      </w:r>
      <w:r>
        <w:rPr>
          <w:rFonts w:ascii="仿宋_GB2312" w:eastAsia="仿宋_GB2312" w:hint="eastAsia"/>
          <w:sz w:val="32"/>
          <w:szCs w:val="32"/>
        </w:rPr>
        <w:t>）和公安（</w:t>
      </w:r>
      <w:r>
        <w:rPr>
          <w:rFonts w:ascii="仿宋_GB2312" w:eastAsia="仿宋_GB2312" w:hint="eastAsia"/>
          <w:sz w:val="32"/>
          <w:szCs w:val="32"/>
        </w:rPr>
        <w:t>19.6%</w:t>
      </w:r>
      <w:r>
        <w:rPr>
          <w:rFonts w:ascii="仿宋_GB2312" w:eastAsia="仿宋_GB2312" w:hint="eastAsia"/>
          <w:sz w:val="32"/>
          <w:szCs w:val="32"/>
        </w:rPr>
        <w:t>）五个</w:t>
      </w:r>
      <w:r>
        <w:rPr>
          <w:rFonts w:ascii="仿宋_GB2312" w:eastAsia="仿宋_GB2312" w:hint="eastAsia"/>
          <w:b/>
          <w:sz w:val="32"/>
          <w:szCs w:val="32"/>
        </w:rPr>
        <w:t>。</w:t>
      </w:r>
    </w:p>
    <w:p w:rsidR="002D273C" w:rsidRDefault="002D273C">
      <w:pPr>
        <w:spacing w:line="560" w:lineRule="exact"/>
        <w:rPr>
          <w:rFonts w:ascii="仿宋_GB2312" w:eastAsia="仿宋_GB2312"/>
          <w:sz w:val="32"/>
          <w:szCs w:val="32"/>
        </w:rPr>
      </w:pPr>
    </w:p>
    <w:p w:rsidR="002D273C" w:rsidRDefault="002D273C">
      <w:pPr>
        <w:spacing w:line="560" w:lineRule="exact"/>
        <w:rPr>
          <w:rFonts w:ascii="仿宋_GB2312" w:eastAsia="仿宋_GB2312"/>
          <w:sz w:val="32"/>
          <w:szCs w:val="32"/>
        </w:rPr>
      </w:pPr>
    </w:p>
    <w:p w:rsidR="002D273C" w:rsidRDefault="00BA7E2A">
      <w:pPr>
        <w:spacing w:line="560" w:lineRule="exact"/>
        <w:jc w:val="center"/>
        <w:rPr>
          <w:rFonts w:ascii="黑体" w:eastAsia="黑体" w:hAnsi="黑体" w:cs="黑体"/>
          <w:sz w:val="30"/>
          <w:szCs w:val="30"/>
        </w:rPr>
      </w:pPr>
      <w:r>
        <w:rPr>
          <w:rFonts w:ascii="黑体" w:eastAsia="黑体" w:hAnsi="黑体" w:cs="黑体" w:hint="eastAsia"/>
          <w:sz w:val="30"/>
          <w:szCs w:val="30"/>
        </w:rPr>
        <w:lastRenderedPageBreak/>
        <w:t>图二</w:t>
      </w:r>
      <w:r>
        <w:rPr>
          <w:rFonts w:ascii="黑体" w:eastAsia="黑体" w:hAnsi="黑体" w:cs="黑体" w:hint="eastAsia"/>
          <w:sz w:val="30"/>
          <w:szCs w:val="30"/>
        </w:rPr>
        <w:t xml:space="preserve">  </w:t>
      </w:r>
      <w:r>
        <w:rPr>
          <w:rFonts w:ascii="黑体" w:eastAsia="黑体" w:hAnsi="黑体" w:cs="黑体" w:hint="eastAsia"/>
          <w:sz w:val="30"/>
          <w:szCs w:val="30"/>
        </w:rPr>
        <w:t>全省法院一审行政案件管理领域分布情况图</w:t>
      </w:r>
    </w:p>
    <w:p w:rsidR="002D273C" w:rsidRDefault="002D273C">
      <w:pPr>
        <w:spacing w:line="220" w:lineRule="exact"/>
        <w:jc w:val="center"/>
        <w:rPr>
          <w:rFonts w:ascii="黑体" w:eastAsia="黑体" w:hAnsi="黑体" w:cs="黑体"/>
          <w:sz w:val="30"/>
          <w:szCs w:val="30"/>
        </w:rPr>
      </w:pPr>
    </w:p>
    <w:p w:rsidR="002D273C" w:rsidRDefault="00BA7E2A">
      <w:pPr>
        <w:spacing w:line="720" w:lineRule="auto"/>
        <w:rPr>
          <w:rFonts w:ascii="仿宋_GB2312" w:eastAsia="仿宋_GB2312"/>
          <w:sz w:val="32"/>
          <w:szCs w:val="32"/>
        </w:rPr>
      </w:pPr>
      <w:r>
        <w:rPr>
          <w:rFonts w:ascii="仿宋_GB2312" w:eastAsia="仿宋_GB2312"/>
          <w:noProof/>
          <w:sz w:val="32"/>
          <w:szCs w:val="32"/>
        </w:rPr>
        <w:drawing>
          <wp:inline distT="0" distB="0" distL="0" distR="0">
            <wp:extent cx="5636260" cy="2611120"/>
            <wp:effectExtent l="4445" t="4445" r="17145" b="13335"/>
            <wp:docPr id="17"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273C" w:rsidRDefault="00BA7E2A">
      <w:pPr>
        <w:spacing w:line="590" w:lineRule="exact"/>
        <w:ind w:firstLineChars="200" w:firstLine="640"/>
        <w:rPr>
          <w:rFonts w:ascii="仿宋_GB2312" w:eastAsia="仿宋_GB2312"/>
          <w:sz w:val="32"/>
          <w:szCs w:val="32"/>
        </w:rPr>
      </w:pPr>
      <w:r>
        <w:rPr>
          <w:rFonts w:ascii="仿宋_GB2312" w:eastAsia="仿宋_GB2312" w:hint="eastAsia"/>
          <w:sz w:val="32"/>
          <w:szCs w:val="32"/>
        </w:rPr>
        <w:t>从态势上看，公安、劳动和社会保障等传统领域案件占比较大，但增幅趋缓。征收拆迁领域案件持续高发多发，特别是集体土地征收、因征收产生的强制拆除分别上升</w:t>
      </w:r>
      <w:r>
        <w:rPr>
          <w:rFonts w:ascii="仿宋_GB2312" w:eastAsia="仿宋_GB2312" w:hint="eastAsia"/>
          <w:sz w:val="32"/>
          <w:szCs w:val="32"/>
        </w:rPr>
        <w:t>74.7%</w:t>
      </w:r>
      <w:r>
        <w:rPr>
          <w:rFonts w:ascii="仿宋_GB2312" w:eastAsia="仿宋_GB2312" w:hint="eastAsia"/>
          <w:sz w:val="32"/>
          <w:szCs w:val="32"/>
        </w:rPr>
        <w:t>和</w:t>
      </w:r>
      <w:r>
        <w:rPr>
          <w:rFonts w:ascii="仿宋_GB2312" w:eastAsia="仿宋_GB2312" w:hint="eastAsia"/>
          <w:sz w:val="32"/>
          <w:szCs w:val="32"/>
        </w:rPr>
        <w:t>50%</w:t>
      </w:r>
      <w:r>
        <w:rPr>
          <w:rFonts w:ascii="仿宋_GB2312" w:eastAsia="仿宋_GB2312" w:hint="eastAsia"/>
          <w:sz w:val="32"/>
          <w:szCs w:val="32"/>
        </w:rPr>
        <w:t>，表明城乡建设领域争议和矛盾较为集中，群众维护自身征收补偿权益的诉求明显增多。环保领域案件增幅放大，表明近年来环保执法的力度加大。</w:t>
      </w:r>
    </w:p>
    <w:p w:rsidR="002D273C" w:rsidRDefault="00BA7E2A">
      <w:pPr>
        <w:spacing w:line="590" w:lineRule="exact"/>
        <w:ind w:firstLineChars="200" w:firstLine="640"/>
        <w:jc w:val="left"/>
        <w:rPr>
          <w:rFonts w:ascii="楷体_GB2312" w:eastAsia="楷体_GB2312"/>
          <w:sz w:val="32"/>
          <w:szCs w:val="32"/>
        </w:rPr>
      </w:pPr>
      <w:r>
        <w:rPr>
          <w:rFonts w:ascii="楷体_GB2312" w:eastAsia="楷体_GB2312" w:hint="eastAsia"/>
          <w:sz w:val="32"/>
          <w:szCs w:val="32"/>
        </w:rPr>
        <w:t>（三）行政行为类型相对集中</w:t>
      </w:r>
    </w:p>
    <w:p w:rsidR="002D273C" w:rsidRDefault="00BA7E2A">
      <w:pPr>
        <w:spacing w:line="590" w:lineRule="exact"/>
        <w:ind w:firstLineChars="200" w:firstLine="640"/>
        <w:rPr>
          <w:rFonts w:ascii="仿宋_GB2312" w:eastAsia="仿宋_GB2312"/>
          <w:sz w:val="32"/>
          <w:szCs w:val="32"/>
        </w:rPr>
      </w:pPr>
      <w:r>
        <w:rPr>
          <w:rFonts w:ascii="仿宋_GB2312" w:eastAsia="仿宋_GB2312" w:hint="eastAsia"/>
          <w:sz w:val="32"/>
          <w:szCs w:val="32"/>
        </w:rPr>
        <w:t>在司法统计的</w:t>
      </w:r>
      <w:r>
        <w:rPr>
          <w:rFonts w:ascii="仿宋_GB2312" w:eastAsia="仿宋_GB2312" w:hint="eastAsia"/>
          <w:sz w:val="32"/>
          <w:szCs w:val="32"/>
        </w:rPr>
        <w:t>28</w:t>
      </w:r>
      <w:r>
        <w:rPr>
          <w:rFonts w:ascii="仿宋_GB2312" w:eastAsia="仿宋_GB2312" w:hint="eastAsia"/>
          <w:sz w:val="32"/>
          <w:szCs w:val="32"/>
        </w:rPr>
        <w:t>个行政行为类型中，</w:t>
      </w:r>
      <w:r>
        <w:rPr>
          <w:rFonts w:ascii="仿宋_GB2312" w:eastAsia="仿宋_GB2312" w:hint="eastAsia"/>
          <w:sz w:val="32"/>
          <w:szCs w:val="32"/>
        </w:rPr>
        <w:t>2018</w:t>
      </w:r>
      <w:r>
        <w:rPr>
          <w:rFonts w:ascii="仿宋_GB2312" w:eastAsia="仿宋_GB2312" w:hint="eastAsia"/>
          <w:sz w:val="32"/>
          <w:szCs w:val="32"/>
        </w:rPr>
        <w:t>年受理的行政案件分属</w:t>
      </w:r>
      <w:r>
        <w:rPr>
          <w:rFonts w:ascii="仿宋_GB2312" w:eastAsia="仿宋_GB2312" w:hint="eastAsia"/>
          <w:sz w:val="32"/>
          <w:szCs w:val="32"/>
        </w:rPr>
        <w:t>15</w:t>
      </w:r>
      <w:r>
        <w:rPr>
          <w:rFonts w:ascii="仿宋_GB2312" w:eastAsia="仿宋_GB2312" w:hint="eastAsia"/>
          <w:sz w:val="32"/>
          <w:szCs w:val="32"/>
        </w:rPr>
        <w:t>个行政行为类型。主要集中在要求履行法定职责（</w:t>
      </w:r>
      <w:r>
        <w:rPr>
          <w:rFonts w:ascii="仿宋_GB2312" w:eastAsia="仿宋_GB2312" w:hint="eastAsia"/>
          <w:sz w:val="32"/>
          <w:szCs w:val="32"/>
        </w:rPr>
        <w:t>2162</w:t>
      </w:r>
      <w:r>
        <w:rPr>
          <w:rFonts w:ascii="仿宋_GB2312" w:eastAsia="仿宋_GB2312" w:hint="eastAsia"/>
          <w:sz w:val="32"/>
          <w:szCs w:val="32"/>
        </w:rPr>
        <w:t>件）、行政处罚（</w:t>
      </w:r>
      <w:r>
        <w:rPr>
          <w:rFonts w:ascii="仿宋_GB2312" w:eastAsia="仿宋_GB2312" w:hint="eastAsia"/>
          <w:sz w:val="32"/>
          <w:szCs w:val="32"/>
        </w:rPr>
        <w:t>1933</w:t>
      </w:r>
      <w:r>
        <w:rPr>
          <w:rFonts w:ascii="仿宋_GB2312" w:eastAsia="仿宋_GB2312" w:hint="eastAsia"/>
          <w:sz w:val="32"/>
          <w:szCs w:val="32"/>
        </w:rPr>
        <w:t>件）、行政强制（</w:t>
      </w:r>
      <w:r>
        <w:rPr>
          <w:rFonts w:ascii="仿宋_GB2312" w:eastAsia="仿宋_GB2312" w:hint="eastAsia"/>
          <w:sz w:val="32"/>
          <w:szCs w:val="32"/>
        </w:rPr>
        <w:t>1902</w:t>
      </w:r>
      <w:r>
        <w:rPr>
          <w:rFonts w:ascii="仿宋_GB2312" w:eastAsia="仿宋_GB2312" w:hint="eastAsia"/>
          <w:sz w:val="32"/>
          <w:szCs w:val="32"/>
        </w:rPr>
        <w:t>件）、行政登记（</w:t>
      </w:r>
      <w:r>
        <w:rPr>
          <w:rFonts w:ascii="仿宋_GB2312" w:eastAsia="仿宋_GB2312" w:hint="eastAsia"/>
          <w:sz w:val="32"/>
          <w:szCs w:val="32"/>
        </w:rPr>
        <w:t>1763</w:t>
      </w:r>
      <w:r>
        <w:rPr>
          <w:rFonts w:ascii="仿宋_GB2312" w:eastAsia="仿宋_GB2312" w:hint="eastAsia"/>
          <w:sz w:val="32"/>
          <w:szCs w:val="32"/>
        </w:rPr>
        <w:t>件）、行政复议（</w:t>
      </w:r>
      <w:r>
        <w:rPr>
          <w:rFonts w:ascii="仿宋_GB2312" w:eastAsia="仿宋_GB2312" w:hint="eastAsia"/>
          <w:sz w:val="32"/>
          <w:szCs w:val="32"/>
        </w:rPr>
        <w:t>1447</w:t>
      </w:r>
      <w:r>
        <w:rPr>
          <w:rFonts w:ascii="仿宋_GB2312" w:eastAsia="仿宋_GB2312" w:hint="eastAsia"/>
          <w:sz w:val="32"/>
          <w:szCs w:val="32"/>
        </w:rPr>
        <w:t>件）、政府信息公开（</w:t>
      </w:r>
      <w:r>
        <w:rPr>
          <w:rFonts w:ascii="仿宋_GB2312" w:eastAsia="仿宋_GB2312" w:hint="eastAsia"/>
          <w:sz w:val="32"/>
          <w:szCs w:val="32"/>
        </w:rPr>
        <w:t>1103</w:t>
      </w:r>
      <w:r>
        <w:rPr>
          <w:rFonts w:ascii="仿宋_GB2312" w:eastAsia="仿宋_GB2312" w:hint="eastAsia"/>
          <w:sz w:val="32"/>
          <w:szCs w:val="32"/>
        </w:rPr>
        <w:t>件）和行政赔偿（</w:t>
      </w:r>
      <w:r>
        <w:rPr>
          <w:rFonts w:ascii="仿宋_GB2312" w:eastAsia="仿宋_GB2312" w:hint="eastAsia"/>
          <w:sz w:val="32"/>
          <w:szCs w:val="32"/>
        </w:rPr>
        <w:t>1010</w:t>
      </w:r>
      <w:r>
        <w:rPr>
          <w:rFonts w:ascii="仿宋_GB2312" w:eastAsia="仿宋_GB2312" w:hint="eastAsia"/>
          <w:sz w:val="32"/>
          <w:szCs w:val="32"/>
        </w:rPr>
        <w:t>件）七类，占一审收案数的</w:t>
      </w:r>
      <w:r>
        <w:rPr>
          <w:rFonts w:ascii="仿宋_GB2312" w:eastAsia="仿宋_GB2312" w:hint="eastAsia"/>
          <w:sz w:val="32"/>
          <w:szCs w:val="32"/>
        </w:rPr>
        <w:t>64.4%</w:t>
      </w:r>
      <w:r>
        <w:rPr>
          <w:rFonts w:ascii="仿宋_GB2312" w:eastAsia="仿宋_GB2312" w:hint="eastAsia"/>
          <w:sz w:val="32"/>
          <w:szCs w:val="32"/>
        </w:rPr>
        <w:t>。其中，要求履行法定职责首次超过行政处罚类型，位居第一。</w:t>
      </w:r>
    </w:p>
    <w:p w:rsidR="002D273C" w:rsidRDefault="00BA7E2A">
      <w:pPr>
        <w:spacing w:line="560" w:lineRule="exact"/>
        <w:jc w:val="center"/>
        <w:rPr>
          <w:rFonts w:ascii="黑体" w:eastAsia="黑体" w:hAnsi="黑体" w:cs="黑体"/>
          <w:sz w:val="30"/>
          <w:szCs w:val="30"/>
        </w:rPr>
      </w:pPr>
      <w:r>
        <w:rPr>
          <w:rFonts w:ascii="黑体" w:eastAsia="黑体" w:hAnsi="黑体" w:cs="黑体" w:hint="eastAsia"/>
          <w:noProof/>
          <w:sz w:val="30"/>
          <w:szCs w:val="30"/>
        </w:rPr>
        <w:lastRenderedPageBreak/>
        <w:drawing>
          <wp:anchor distT="0" distB="0" distL="114300" distR="114300" simplePos="0" relativeHeight="251671552" behindDoc="0" locked="0" layoutInCell="1" allowOverlap="1">
            <wp:simplePos x="0" y="0"/>
            <wp:positionH relativeFrom="column">
              <wp:posOffset>-22225</wp:posOffset>
            </wp:positionH>
            <wp:positionV relativeFrom="paragraph">
              <wp:posOffset>314960</wp:posOffset>
            </wp:positionV>
            <wp:extent cx="5715000" cy="3515360"/>
            <wp:effectExtent l="0" t="0" r="0" b="0"/>
            <wp:wrapNone/>
            <wp:docPr id="7"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黑体" w:eastAsia="黑体" w:hAnsi="黑体" w:cs="黑体" w:hint="eastAsia"/>
          <w:sz w:val="30"/>
          <w:szCs w:val="30"/>
        </w:rPr>
        <w:t>图三</w:t>
      </w:r>
      <w:r>
        <w:rPr>
          <w:rFonts w:ascii="黑体" w:eastAsia="黑体" w:hAnsi="黑体" w:cs="黑体" w:hint="eastAsia"/>
          <w:sz w:val="30"/>
          <w:szCs w:val="30"/>
        </w:rPr>
        <w:t xml:space="preserve">  </w:t>
      </w:r>
      <w:r>
        <w:rPr>
          <w:rFonts w:ascii="黑体" w:eastAsia="黑体" w:hAnsi="黑体" w:cs="黑体" w:hint="eastAsia"/>
          <w:sz w:val="30"/>
          <w:szCs w:val="30"/>
        </w:rPr>
        <w:t>全省法院一审行政案件类型分布情况图</w:t>
      </w:r>
    </w:p>
    <w:p w:rsidR="002D273C" w:rsidRDefault="002D273C">
      <w:pPr>
        <w:spacing w:line="560" w:lineRule="exact"/>
        <w:rPr>
          <w:rFonts w:ascii="仿宋_GB2312" w:eastAsia="仿宋_GB2312"/>
          <w:sz w:val="32"/>
          <w:szCs w:val="32"/>
        </w:rPr>
      </w:pPr>
    </w:p>
    <w:p w:rsidR="002D273C" w:rsidRDefault="002D273C">
      <w:pPr>
        <w:spacing w:line="560" w:lineRule="exact"/>
        <w:rPr>
          <w:rFonts w:ascii="仿宋_GB2312" w:eastAsia="仿宋_GB2312"/>
          <w:sz w:val="32"/>
          <w:szCs w:val="32"/>
        </w:rPr>
      </w:pPr>
    </w:p>
    <w:p w:rsidR="002D273C" w:rsidRDefault="002D273C">
      <w:pPr>
        <w:spacing w:line="560" w:lineRule="exact"/>
        <w:rPr>
          <w:rFonts w:ascii="仿宋_GB2312" w:eastAsia="仿宋_GB2312"/>
          <w:sz w:val="32"/>
          <w:szCs w:val="32"/>
        </w:rPr>
      </w:pPr>
    </w:p>
    <w:p w:rsidR="002D273C" w:rsidRDefault="002D273C">
      <w:pPr>
        <w:spacing w:line="560" w:lineRule="exact"/>
        <w:rPr>
          <w:rFonts w:ascii="仿宋_GB2312" w:eastAsia="仿宋_GB2312"/>
          <w:sz w:val="32"/>
          <w:szCs w:val="32"/>
        </w:rPr>
      </w:pPr>
    </w:p>
    <w:p w:rsidR="002D273C" w:rsidRDefault="002D273C">
      <w:pPr>
        <w:spacing w:line="560" w:lineRule="exact"/>
        <w:rPr>
          <w:rFonts w:ascii="仿宋_GB2312" w:eastAsia="仿宋_GB2312"/>
          <w:sz w:val="32"/>
          <w:szCs w:val="32"/>
        </w:rPr>
      </w:pPr>
    </w:p>
    <w:p w:rsidR="002D273C" w:rsidRDefault="002D273C">
      <w:pPr>
        <w:spacing w:line="560" w:lineRule="exact"/>
        <w:rPr>
          <w:rFonts w:ascii="仿宋_GB2312" w:eastAsia="仿宋_GB2312"/>
          <w:sz w:val="32"/>
          <w:szCs w:val="32"/>
        </w:rPr>
      </w:pPr>
    </w:p>
    <w:p w:rsidR="002D273C" w:rsidRDefault="002D273C">
      <w:pPr>
        <w:spacing w:line="560" w:lineRule="exact"/>
        <w:rPr>
          <w:rFonts w:ascii="仿宋_GB2312" w:eastAsia="仿宋_GB2312"/>
          <w:sz w:val="32"/>
          <w:szCs w:val="32"/>
        </w:rPr>
      </w:pPr>
    </w:p>
    <w:p w:rsidR="002D273C" w:rsidRDefault="002D273C">
      <w:pPr>
        <w:spacing w:line="560" w:lineRule="exact"/>
        <w:rPr>
          <w:rFonts w:ascii="仿宋_GB2312" w:eastAsia="仿宋_GB2312"/>
          <w:sz w:val="32"/>
          <w:szCs w:val="32"/>
        </w:rPr>
      </w:pPr>
    </w:p>
    <w:p w:rsidR="002D273C" w:rsidRDefault="002D273C">
      <w:pPr>
        <w:spacing w:line="560" w:lineRule="exact"/>
        <w:rPr>
          <w:rFonts w:ascii="仿宋_GB2312" w:eastAsia="仿宋_GB2312"/>
          <w:sz w:val="32"/>
          <w:szCs w:val="32"/>
        </w:rPr>
      </w:pPr>
    </w:p>
    <w:p w:rsidR="002D273C" w:rsidRDefault="002D273C">
      <w:pPr>
        <w:spacing w:line="560" w:lineRule="exact"/>
        <w:rPr>
          <w:rFonts w:ascii="仿宋_GB2312" w:eastAsia="仿宋_GB2312"/>
          <w:sz w:val="32"/>
          <w:szCs w:val="32"/>
        </w:rPr>
      </w:pPr>
    </w:p>
    <w:p w:rsidR="002D273C" w:rsidRDefault="00BA7E2A">
      <w:pPr>
        <w:spacing w:line="600" w:lineRule="exact"/>
        <w:ind w:firstLineChars="200" w:firstLine="640"/>
        <w:rPr>
          <w:rFonts w:ascii="仿宋_GB2312" w:eastAsia="仿宋_GB2312"/>
          <w:sz w:val="32"/>
          <w:szCs w:val="32"/>
        </w:rPr>
      </w:pPr>
      <w:r>
        <w:rPr>
          <w:rFonts w:ascii="仿宋_GB2312" w:eastAsia="仿宋_GB2312" w:hint="eastAsia"/>
          <w:sz w:val="32"/>
          <w:szCs w:val="32"/>
        </w:rPr>
        <w:t>在传统的行政争议类型中，增幅较大的是行政强制（</w:t>
      </w:r>
      <w:r>
        <w:rPr>
          <w:rFonts w:ascii="仿宋_GB2312" w:eastAsia="仿宋_GB2312" w:hint="eastAsia"/>
          <w:sz w:val="32"/>
          <w:szCs w:val="32"/>
        </w:rPr>
        <w:t>73.2%</w:t>
      </w:r>
      <w:r>
        <w:rPr>
          <w:rFonts w:ascii="仿宋_GB2312" w:eastAsia="仿宋_GB2312" w:hint="eastAsia"/>
          <w:sz w:val="32"/>
          <w:szCs w:val="32"/>
        </w:rPr>
        <w:t>）、行政赔偿（</w:t>
      </w:r>
      <w:r>
        <w:rPr>
          <w:rFonts w:ascii="仿宋_GB2312" w:eastAsia="仿宋_GB2312" w:hint="eastAsia"/>
          <w:sz w:val="32"/>
          <w:szCs w:val="32"/>
        </w:rPr>
        <w:t>63.4%</w:t>
      </w:r>
      <w:r>
        <w:rPr>
          <w:rFonts w:ascii="仿宋_GB2312" w:eastAsia="仿宋_GB2312" w:hint="eastAsia"/>
          <w:sz w:val="32"/>
          <w:szCs w:val="32"/>
        </w:rPr>
        <w:t>）和行政</w:t>
      </w:r>
      <w:r>
        <w:rPr>
          <w:rFonts w:ascii="仿宋_GB2312" w:eastAsia="仿宋_GB2312" w:hint="eastAsia"/>
          <w:sz w:val="32"/>
          <w:szCs w:val="32"/>
        </w:rPr>
        <w:t>补偿（</w:t>
      </w:r>
      <w:r>
        <w:rPr>
          <w:rFonts w:ascii="仿宋_GB2312" w:eastAsia="仿宋_GB2312" w:hint="eastAsia"/>
          <w:sz w:val="32"/>
          <w:szCs w:val="32"/>
        </w:rPr>
        <w:t>32.2%</w:t>
      </w:r>
      <w:r>
        <w:rPr>
          <w:rFonts w:ascii="仿宋_GB2312" w:eastAsia="仿宋_GB2312" w:hint="eastAsia"/>
          <w:sz w:val="32"/>
          <w:szCs w:val="32"/>
        </w:rPr>
        <w:t>）三类。这些案件增多与近年来我省各地城市化进程加快，以及大量重点建设项目，如济南中央商务区、济青高铁等重点工程的实施推进有关。此外，征地拆迁活动也引发或衍生了要求履行法定职责、政府信息公开、行政复议等一系列行政争议。</w:t>
      </w:r>
    </w:p>
    <w:p w:rsidR="002D273C" w:rsidRDefault="00BA7E2A">
      <w:pPr>
        <w:spacing w:line="600" w:lineRule="exact"/>
        <w:ind w:firstLineChars="200" w:firstLine="640"/>
        <w:rPr>
          <w:rFonts w:ascii="仿宋_GB2312" w:eastAsia="仿宋_GB2312"/>
          <w:sz w:val="32"/>
          <w:szCs w:val="32"/>
        </w:rPr>
      </w:pPr>
      <w:r>
        <w:rPr>
          <w:rFonts w:ascii="仿宋_GB2312" w:eastAsia="仿宋_GB2312" w:hint="eastAsia"/>
          <w:sz w:val="32"/>
          <w:szCs w:val="32"/>
        </w:rPr>
        <w:t>另外，随着新行政诉讼法及司法解释的实施，新类型案件开始成为行政诉讼案件数量的新增长点。</w:t>
      </w:r>
      <w:r>
        <w:rPr>
          <w:rFonts w:ascii="仿宋_GB2312" w:eastAsia="仿宋_GB2312" w:hint="eastAsia"/>
          <w:sz w:val="32"/>
          <w:szCs w:val="32"/>
        </w:rPr>
        <w:t>2018</w:t>
      </w:r>
      <w:r>
        <w:rPr>
          <w:rFonts w:ascii="仿宋_GB2312" w:eastAsia="仿宋_GB2312" w:hint="eastAsia"/>
          <w:sz w:val="32"/>
          <w:szCs w:val="32"/>
        </w:rPr>
        <w:t>年新收行政协议案件</w:t>
      </w:r>
      <w:r>
        <w:rPr>
          <w:rFonts w:ascii="仿宋_GB2312" w:eastAsia="仿宋_GB2312" w:hint="eastAsia"/>
          <w:sz w:val="32"/>
          <w:szCs w:val="32"/>
        </w:rPr>
        <w:t>514</w:t>
      </w:r>
      <w:r>
        <w:rPr>
          <w:rFonts w:ascii="仿宋_GB2312" w:eastAsia="仿宋_GB2312" w:hint="eastAsia"/>
          <w:sz w:val="32"/>
          <w:szCs w:val="32"/>
        </w:rPr>
        <w:t>件，同比增加</w:t>
      </w:r>
      <w:r>
        <w:rPr>
          <w:rFonts w:ascii="仿宋_GB2312" w:eastAsia="仿宋_GB2312" w:hint="eastAsia"/>
          <w:sz w:val="32"/>
          <w:szCs w:val="32"/>
        </w:rPr>
        <w:t>157%</w:t>
      </w:r>
      <w:r>
        <w:rPr>
          <w:rFonts w:ascii="仿宋_GB2312" w:eastAsia="仿宋_GB2312" w:hint="eastAsia"/>
          <w:sz w:val="32"/>
          <w:szCs w:val="32"/>
        </w:rPr>
        <w:t>；检察机关提起的行政公益诉讼案件</w:t>
      </w:r>
      <w:r>
        <w:rPr>
          <w:rFonts w:ascii="仿宋_GB2312" w:eastAsia="仿宋_GB2312" w:hint="eastAsia"/>
          <w:sz w:val="32"/>
          <w:szCs w:val="32"/>
        </w:rPr>
        <w:t>115</w:t>
      </w:r>
      <w:r>
        <w:rPr>
          <w:rFonts w:ascii="仿宋_GB2312" w:eastAsia="仿宋_GB2312" w:hint="eastAsia"/>
          <w:sz w:val="32"/>
          <w:szCs w:val="32"/>
        </w:rPr>
        <w:t>件，同比增加</w:t>
      </w:r>
      <w:r>
        <w:rPr>
          <w:rFonts w:ascii="仿宋_GB2312" w:eastAsia="仿宋_GB2312" w:hint="eastAsia"/>
          <w:sz w:val="32"/>
          <w:szCs w:val="32"/>
        </w:rPr>
        <w:t>61.8%</w:t>
      </w:r>
      <w:r>
        <w:rPr>
          <w:rFonts w:ascii="仿宋_GB2312" w:eastAsia="仿宋_GB2312" w:hint="eastAsia"/>
          <w:sz w:val="32"/>
          <w:szCs w:val="32"/>
        </w:rPr>
        <w:t>；一并解决民事争议案件</w:t>
      </w:r>
      <w:r>
        <w:rPr>
          <w:rFonts w:ascii="仿宋_GB2312" w:eastAsia="仿宋_GB2312" w:hint="eastAsia"/>
          <w:sz w:val="32"/>
          <w:szCs w:val="32"/>
        </w:rPr>
        <w:t>8</w:t>
      </w:r>
      <w:r>
        <w:rPr>
          <w:rFonts w:ascii="仿宋_GB2312" w:eastAsia="仿宋_GB2312" w:hint="eastAsia"/>
          <w:sz w:val="32"/>
          <w:szCs w:val="32"/>
        </w:rPr>
        <w:t>件，同比增加</w:t>
      </w:r>
      <w:r>
        <w:rPr>
          <w:rFonts w:ascii="仿宋_GB2312" w:eastAsia="仿宋_GB2312" w:hint="eastAsia"/>
          <w:sz w:val="32"/>
          <w:szCs w:val="32"/>
        </w:rPr>
        <w:t>14.3%</w:t>
      </w:r>
      <w:r>
        <w:rPr>
          <w:rFonts w:ascii="仿宋_GB2312" w:eastAsia="仿宋_GB2312" w:hint="eastAsia"/>
          <w:sz w:val="32"/>
          <w:szCs w:val="32"/>
        </w:rPr>
        <w:t>；一并审查规范性文件案件</w:t>
      </w:r>
      <w:r>
        <w:rPr>
          <w:rFonts w:ascii="仿宋_GB2312" w:eastAsia="仿宋_GB2312" w:hint="eastAsia"/>
          <w:sz w:val="32"/>
          <w:szCs w:val="32"/>
        </w:rPr>
        <w:t>31</w:t>
      </w:r>
      <w:r>
        <w:rPr>
          <w:rFonts w:ascii="仿宋_GB2312" w:eastAsia="仿宋_GB2312" w:hint="eastAsia"/>
          <w:sz w:val="32"/>
          <w:szCs w:val="32"/>
        </w:rPr>
        <w:t>件，同比增加</w:t>
      </w:r>
      <w:r>
        <w:rPr>
          <w:rFonts w:ascii="仿宋_GB2312" w:eastAsia="仿宋_GB2312" w:hint="eastAsia"/>
          <w:sz w:val="32"/>
          <w:szCs w:val="32"/>
        </w:rPr>
        <w:t>210%</w:t>
      </w:r>
      <w:r>
        <w:rPr>
          <w:rFonts w:ascii="仿宋_GB2312" w:eastAsia="仿宋_GB2312" w:hint="eastAsia"/>
          <w:sz w:val="32"/>
          <w:szCs w:val="32"/>
        </w:rPr>
        <w:t>。</w:t>
      </w:r>
    </w:p>
    <w:p w:rsidR="002D273C" w:rsidRDefault="00BA7E2A">
      <w:pPr>
        <w:spacing w:line="600" w:lineRule="exact"/>
        <w:ind w:firstLineChars="200" w:firstLine="640"/>
        <w:rPr>
          <w:rFonts w:ascii="仿宋_GB2312" w:eastAsia="仿宋_GB2312"/>
          <w:sz w:val="32"/>
          <w:szCs w:val="32"/>
        </w:rPr>
      </w:pPr>
      <w:r>
        <w:rPr>
          <w:rFonts w:ascii="楷体_GB2312" w:eastAsia="楷体_GB2312" w:hint="eastAsia"/>
          <w:sz w:val="32"/>
          <w:szCs w:val="32"/>
        </w:rPr>
        <w:lastRenderedPageBreak/>
        <w:t>（四）行政案件地区分布不均衡</w:t>
      </w:r>
    </w:p>
    <w:p w:rsidR="002D273C" w:rsidRDefault="00BA7E2A">
      <w:pPr>
        <w:spacing w:line="700" w:lineRule="exact"/>
        <w:ind w:firstLineChars="200" w:firstLine="640"/>
        <w:rPr>
          <w:rFonts w:ascii="仿宋_GB2312" w:eastAsia="仿宋_GB2312"/>
          <w:sz w:val="32"/>
          <w:szCs w:val="32"/>
        </w:rPr>
      </w:pPr>
      <w:r>
        <w:rPr>
          <w:rFonts w:ascii="仿宋_GB2312" w:eastAsia="仿宋_GB2312" w:hint="eastAsia"/>
          <w:sz w:val="32"/>
          <w:szCs w:val="32"/>
        </w:rPr>
        <w:t>由于受一审收案数量与经济发展程度、城乡建设情况以及人口密度等因素影响，案件分布地区差异仍然较大。</w:t>
      </w:r>
      <w:r>
        <w:rPr>
          <w:rFonts w:ascii="仿宋_GB2312" w:eastAsia="仿宋_GB2312" w:hint="eastAsia"/>
          <w:sz w:val="32"/>
          <w:szCs w:val="32"/>
        </w:rPr>
        <w:t>2018</w:t>
      </w:r>
      <w:r>
        <w:rPr>
          <w:rFonts w:ascii="仿宋_GB2312" w:eastAsia="仿宋_GB2312" w:hint="eastAsia"/>
          <w:sz w:val="32"/>
          <w:szCs w:val="32"/>
        </w:rPr>
        <w:t>年，新收一审行政案件主要集中在济南（</w:t>
      </w:r>
      <w:r>
        <w:rPr>
          <w:rFonts w:ascii="仿宋_GB2312" w:eastAsia="仿宋_GB2312" w:hint="eastAsia"/>
          <w:sz w:val="32"/>
          <w:szCs w:val="32"/>
        </w:rPr>
        <w:t>3737</w:t>
      </w:r>
      <w:r>
        <w:rPr>
          <w:rFonts w:ascii="仿宋_GB2312" w:eastAsia="仿宋_GB2312" w:hint="eastAsia"/>
          <w:sz w:val="32"/>
          <w:szCs w:val="32"/>
        </w:rPr>
        <w:t>件）、青岛（</w:t>
      </w:r>
      <w:r>
        <w:rPr>
          <w:rFonts w:ascii="仿宋_GB2312" w:eastAsia="仿宋_GB2312" w:hint="eastAsia"/>
          <w:sz w:val="32"/>
          <w:szCs w:val="32"/>
        </w:rPr>
        <w:t>2066</w:t>
      </w:r>
      <w:r>
        <w:rPr>
          <w:rFonts w:ascii="仿宋_GB2312" w:eastAsia="仿宋_GB2312" w:hint="eastAsia"/>
          <w:sz w:val="32"/>
          <w:szCs w:val="32"/>
        </w:rPr>
        <w:t>件）、菏泽（</w:t>
      </w:r>
      <w:r>
        <w:rPr>
          <w:rFonts w:ascii="仿宋_GB2312" w:eastAsia="仿宋_GB2312" w:hint="eastAsia"/>
          <w:sz w:val="32"/>
          <w:szCs w:val="32"/>
        </w:rPr>
        <w:t>160</w:t>
      </w:r>
      <w:r>
        <w:rPr>
          <w:rFonts w:ascii="仿宋_GB2312" w:eastAsia="仿宋_GB2312" w:hint="eastAsia"/>
          <w:sz w:val="32"/>
          <w:szCs w:val="32"/>
        </w:rPr>
        <w:t>6</w:t>
      </w:r>
      <w:r>
        <w:rPr>
          <w:rFonts w:ascii="仿宋_GB2312" w:eastAsia="仿宋_GB2312" w:hint="eastAsia"/>
          <w:sz w:val="32"/>
          <w:szCs w:val="32"/>
        </w:rPr>
        <w:t>件）、临沂（</w:t>
      </w:r>
      <w:r>
        <w:rPr>
          <w:rFonts w:ascii="仿宋_GB2312" w:eastAsia="仿宋_GB2312" w:hint="eastAsia"/>
          <w:sz w:val="32"/>
          <w:szCs w:val="32"/>
        </w:rPr>
        <w:t>1476</w:t>
      </w:r>
      <w:r>
        <w:rPr>
          <w:rFonts w:ascii="仿宋_GB2312" w:eastAsia="仿宋_GB2312" w:hint="eastAsia"/>
          <w:sz w:val="32"/>
          <w:szCs w:val="32"/>
        </w:rPr>
        <w:t>件）、济宁（</w:t>
      </w:r>
      <w:r>
        <w:rPr>
          <w:rFonts w:ascii="仿宋_GB2312" w:eastAsia="仿宋_GB2312" w:hint="eastAsia"/>
          <w:sz w:val="32"/>
          <w:szCs w:val="32"/>
        </w:rPr>
        <w:t>1204</w:t>
      </w:r>
      <w:r>
        <w:rPr>
          <w:rFonts w:ascii="仿宋_GB2312" w:eastAsia="仿宋_GB2312" w:hint="eastAsia"/>
          <w:sz w:val="32"/>
          <w:szCs w:val="32"/>
        </w:rPr>
        <w:t>件）和潍坊（</w:t>
      </w:r>
      <w:r>
        <w:rPr>
          <w:rFonts w:ascii="仿宋_GB2312" w:eastAsia="仿宋_GB2312" w:hint="eastAsia"/>
          <w:sz w:val="32"/>
          <w:szCs w:val="32"/>
        </w:rPr>
        <w:t>1102</w:t>
      </w:r>
      <w:r>
        <w:rPr>
          <w:rFonts w:ascii="仿宋_GB2312" w:eastAsia="仿宋_GB2312" w:hint="eastAsia"/>
          <w:sz w:val="32"/>
          <w:szCs w:val="32"/>
        </w:rPr>
        <w:t>件）六市，共计</w:t>
      </w:r>
      <w:r>
        <w:rPr>
          <w:rFonts w:ascii="仿宋_GB2312" w:eastAsia="仿宋_GB2312" w:hint="eastAsia"/>
          <w:sz w:val="32"/>
          <w:szCs w:val="32"/>
        </w:rPr>
        <w:t>11191</w:t>
      </w:r>
      <w:r>
        <w:rPr>
          <w:rFonts w:ascii="仿宋_GB2312" w:eastAsia="仿宋_GB2312" w:hint="eastAsia"/>
          <w:sz w:val="32"/>
          <w:szCs w:val="32"/>
        </w:rPr>
        <w:t>件，占新收案件的</w:t>
      </w:r>
      <w:r>
        <w:rPr>
          <w:rFonts w:ascii="仿宋_GB2312" w:eastAsia="仿宋_GB2312" w:hint="eastAsia"/>
          <w:sz w:val="32"/>
          <w:szCs w:val="32"/>
        </w:rPr>
        <w:t>63.7%</w:t>
      </w:r>
      <w:r>
        <w:rPr>
          <w:rFonts w:ascii="仿宋_GB2312" w:eastAsia="仿宋_GB2312" w:hint="eastAsia"/>
          <w:sz w:val="32"/>
          <w:szCs w:val="32"/>
        </w:rPr>
        <w:t>。一审收案数不足</w:t>
      </w:r>
      <w:r>
        <w:rPr>
          <w:rFonts w:ascii="仿宋_GB2312" w:eastAsia="仿宋_GB2312" w:hint="eastAsia"/>
          <w:sz w:val="32"/>
          <w:szCs w:val="32"/>
        </w:rPr>
        <w:t>500</w:t>
      </w:r>
      <w:r>
        <w:rPr>
          <w:rFonts w:ascii="仿宋_GB2312" w:eastAsia="仿宋_GB2312" w:hint="eastAsia"/>
          <w:sz w:val="32"/>
          <w:szCs w:val="32"/>
        </w:rPr>
        <w:t>件的有东营（</w:t>
      </w:r>
      <w:r>
        <w:rPr>
          <w:rFonts w:ascii="仿宋_GB2312" w:eastAsia="仿宋_GB2312" w:hint="eastAsia"/>
          <w:sz w:val="32"/>
          <w:szCs w:val="32"/>
        </w:rPr>
        <w:t>231</w:t>
      </w:r>
      <w:r>
        <w:rPr>
          <w:rFonts w:ascii="仿宋_GB2312" w:eastAsia="仿宋_GB2312" w:hint="eastAsia"/>
          <w:sz w:val="32"/>
          <w:szCs w:val="32"/>
        </w:rPr>
        <w:t>件）、滨州（</w:t>
      </w:r>
      <w:r>
        <w:rPr>
          <w:rFonts w:ascii="仿宋_GB2312" w:eastAsia="仿宋_GB2312" w:hint="eastAsia"/>
          <w:sz w:val="32"/>
          <w:szCs w:val="32"/>
        </w:rPr>
        <w:t>375</w:t>
      </w:r>
      <w:r>
        <w:rPr>
          <w:rFonts w:ascii="仿宋_GB2312" w:eastAsia="仿宋_GB2312" w:hint="eastAsia"/>
          <w:sz w:val="32"/>
          <w:szCs w:val="32"/>
        </w:rPr>
        <w:t>件）、威海（</w:t>
      </w:r>
      <w:r>
        <w:rPr>
          <w:rFonts w:ascii="仿宋_GB2312" w:eastAsia="仿宋_GB2312" w:hint="eastAsia"/>
          <w:sz w:val="32"/>
          <w:szCs w:val="32"/>
        </w:rPr>
        <w:t>403</w:t>
      </w:r>
      <w:r>
        <w:rPr>
          <w:rFonts w:ascii="仿宋_GB2312" w:eastAsia="仿宋_GB2312" w:hint="eastAsia"/>
          <w:sz w:val="32"/>
          <w:szCs w:val="32"/>
        </w:rPr>
        <w:t>件）和日照（</w:t>
      </w:r>
      <w:r>
        <w:rPr>
          <w:rFonts w:ascii="仿宋_GB2312" w:eastAsia="仿宋_GB2312" w:hint="eastAsia"/>
          <w:sz w:val="32"/>
          <w:szCs w:val="32"/>
        </w:rPr>
        <w:t>432</w:t>
      </w:r>
      <w:r>
        <w:rPr>
          <w:rFonts w:ascii="仿宋_GB2312" w:eastAsia="仿宋_GB2312" w:hint="eastAsia"/>
          <w:sz w:val="32"/>
          <w:szCs w:val="32"/>
        </w:rPr>
        <w:t>件），共计</w:t>
      </w:r>
      <w:r>
        <w:rPr>
          <w:rFonts w:ascii="仿宋_GB2312" w:eastAsia="仿宋_GB2312" w:hint="eastAsia"/>
          <w:sz w:val="32"/>
          <w:szCs w:val="32"/>
        </w:rPr>
        <w:t>1441</w:t>
      </w:r>
      <w:r>
        <w:rPr>
          <w:rFonts w:ascii="仿宋_GB2312" w:eastAsia="仿宋_GB2312" w:hint="eastAsia"/>
          <w:sz w:val="32"/>
          <w:szCs w:val="32"/>
        </w:rPr>
        <w:t>件，仅占新收案件的</w:t>
      </w:r>
      <w:r>
        <w:rPr>
          <w:rFonts w:ascii="仿宋_GB2312" w:eastAsia="仿宋_GB2312" w:hint="eastAsia"/>
          <w:sz w:val="32"/>
          <w:szCs w:val="32"/>
        </w:rPr>
        <w:t>8.2%</w:t>
      </w:r>
    </w:p>
    <w:p w:rsidR="002D273C" w:rsidRDefault="00BA7E2A">
      <w:pPr>
        <w:spacing w:line="700" w:lineRule="exact"/>
        <w:jc w:val="center"/>
        <w:rPr>
          <w:rFonts w:ascii="黑体" w:eastAsia="黑体" w:hAnsi="黑体" w:cs="黑体"/>
          <w:sz w:val="30"/>
          <w:szCs w:val="30"/>
        </w:rPr>
      </w:pPr>
      <w:r>
        <w:rPr>
          <w:rFonts w:ascii="楷体_GB2312" w:eastAsia="楷体_GB2312" w:hint="eastAsia"/>
          <w:noProof/>
          <w:sz w:val="30"/>
          <w:szCs w:val="30"/>
        </w:rPr>
        <w:drawing>
          <wp:anchor distT="0" distB="0" distL="114300" distR="114300" simplePos="0" relativeHeight="251663360" behindDoc="0" locked="0" layoutInCell="1" allowOverlap="1">
            <wp:simplePos x="0" y="0"/>
            <wp:positionH relativeFrom="column">
              <wp:posOffset>-250190</wp:posOffset>
            </wp:positionH>
            <wp:positionV relativeFrom="paragraph">
              <wp:posOffset>426720</wp:posOffset>
            </wp:positionV>
            <wp:extent cx="6160135" cy="4177030"/>
            <wp:effectExtent l="0" t="0" r="0" b="0"/>
            <wp:wrapNone/>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ascii="黑体" w:eastAsia="黑体" w:hAnsi="黑体" w:cs="黑体" w:hint="eastAsia"/>
          <w:sz w:val="30"/>
          <w:szCs w:val="30"/>
        </w:rPr>
        <w:t>图四</w:t>
      </w:r>
      <w:r>
        <w:rPr>
          <w:rFonts w:ascii="黑体" w:eastAsia="黑体" w:hAnsi="黑体" w:cs="黑体" w:hint="eastAsia"/>
          <w:sz w:val="30"/>
          <w:szCs w:val="30"/>
        </w:rPr>
        <w:t xml:space="preserve">  2018</w:t>
      </w:r>
      <w:r>
        <w:rPr>
          <w:rFonts w:ascii="黑体" w:eastAsia="黑体" w:hAnsi="黑体" w:cs="黑体" w:hint="eastAsia"/>
          <w:sz w:val="30"/>
          <w:szCs w:val="30"/>
        </w:rPr>
        <w:t>年全省法院行政案件一审收案情况表</w:t>
      </w:r>
    </w:p>
    <w:p w:rsidR="002D273C" w:rsidRDefault="002D273C">
      <w:pPr>
        <w:spacing w:line="560" w:lineRule="exact"/>
        <w:rPr>
          <w:rFonts w:ascii="楷体_GB2312" w:eastAsia="楷体_GB2312"/>
          <w:sz w:val="32"/>
          <w:szCs w:val="32"/>
        </w:rPr>
      </w:pPr>
    </w:p>
    <w:p w:rsidR="002D273C" w:rsidRDefault="002D273C">
      <w:pPr>
        <w:spacing w:line="560" w:lineRule="exact"/>
        <w:rPr>
          <w:rFonts w:ascii="楷体_GB2312" w:eastAsia="楷体_GB2312"/>
          <w:sz w:val="32"/>
          <w:szCs w:val="32"/>
        </w:rPr>
      </w:pPr>
    </w:p>
    <w:p w:rsidR="002D273C" w:rsidRDefault="002D273C">
      <w:pPr>
        <w:spacing w:line="560" w:lineRule="exact"/>
        <w:rPr>
          <w:rFonts w:ascii="楷体_GB2312" w:eastAsia="楷体_GB2312"/>
          <w:sz w:val="32"/>
          <w:szCs w:val="32"/>
        </w:rPr>
      </w:pPr>
    </w:p>
    <w:p w:rsidR="002D273C" w:rsidRDefault="002D273C">
      <w:pPr>
        <w:spacing w:line="560" w:lineRule="exact"/>
        <w:rPr>
          <w:rFonts w:ascii="楷体_GB2312" w:eastAsia="楷体_GB2312"/>
          <w:sz w:val="32"/>
          <w:szCs w:val="32"/>
        </w:rPr>
      </w:pPr>
    </w:p>
    <w:p w:rsidR="002D273C" w:rsidRDefault="002D273C">
      <w:pPr>
        <w:spacing w:line="560" w:lineRule="exact"/>
        <w:rPr>
          <w:rFonts w:ascii="楷体_GB2312" w:eastAsia="楷体_GB2312"/>
          <w:sz w:val="32"/>
          <w:szCs w:val="32"/>
        </w:rPr>
      </w:pPr>
    </w:p>
    <w:p w:rsidR="002D273C" w:rsidRDefault="002D273C">
      <w:pPr>
        <w:spacing w:line="560" w:lineRule="exact"/>
        <w:rPr>
          <w:rFonts w:ascii="楷体_GB2312" w:eastAsia="楷体_GB2312"/>
          <w:sz w:val="32"/>
          <w:szCs w:val="32"/>
        </w:rPr>
      </w:pPr>
    </w:p>
    <w:p w:rsidR="002D273C" w:rsidRDefault="002D273C">
      <w:pPr>
        <w:spacing w:line="560" w:lineRule="exact"/>
        <w:rPr>
          <w:rFonts w:ascii="楷体_GB2312" w:eastAsia="楷体_GB2312"/>
          <w:sz w:val="32"/>
          <w:szCs w:val="32"/>
        </w:rPr>
      </w:pPr>
    </w:p>
    <w:p w:rsidR="002D273C" w:rsidRDefault="002D273C">
      <w:pPr>
        <w:spacing w:line="560" w:lineRule="exact"/>
        <w:rPr>
          <w:rFonts w:ascii="楷体_GB2312" w:eastAsia="楷体_GB2312"/>
          <w:sz w:val="32"/>
          <w:szCs w:val="32"/>
        </w:rPr>
      </w:pPr>
    </w:p>
    <w:p w:rsidR="002D273C" w:rsidRDefault="002D273C">
      <w:pPr>
        <w:spacing w:line="560" w:lineRule="exact"/>
        <w:rPr>
          <w:rFonts w:ascii="楷体_GB2312" w:eastAsia="楷体_GB2312"/>
          <w:sz w:val="32"/>
          <w:szCs w:val="32"/>
        </w:rPr>
      </w:pPr>
    </w:p>
    <w:p w:rsidR="002D273C" w:rsidRDefault="002D273C">
      <w:pPr>
        <w:spacing w:line="560" w:lineRule="exact"/>
        <w:rPr>
          <w:rFonts w:ascii="楷体_GB2312" w:eastAsia="楷体_GB2312"/>
          <w:sz w:val="32"/>
          <w:szCs w:val="32"/>
        </w:rPr>
      </w:pPr>
    </w:p>
    <w:p w:rsidR="002D273C" w:rsidRDefault="002D273C">
      <w:pPr>
        <w:spacing w:line="560" w:lineRule="exact"/>
        <w:rPr>
          <w:rFonts w:ascii="楷体_GB2312" w:eastAsia="楷体_GB2312"/>
          <w:sz w:val="32"/>
          <w:szCs w:val="32"/>
        </w:rPr>
      </w:pPr>
    </w:p>
    <w:p w:rsidR="002D273C" w:rsidRDefault="00BA7E2A">
      <w:pPr>
        <w:spacing w:line="600" w:lineRule="exact"/>
        <w:ind w:firstLineChars="200" w:firstLine="640"/>
        <w:rPr>
          <w:rFonts w:ascii="楷体_GB2312" w:eastAsia="楷体_GB2312"/>
          <w:sz w:val="32"/>
          <w:szCs w:val="32"/>
        </w:rPr>
      </w:pPr>
      <w:r>
        <w:rPr>
          <w:rFonts w:ascii="楷体_GB2312" w:eastAsia="楷体_GB2312" w:hint="eastAsia"/>
          <w:sz w:val="32"/>
          <w:szCs w:val="32"/>
        </w:rPr>
        <w:lastRenderedPageBreak/>
        <w:t>（五）行政机关败诉率上升，败诉领域和主体相对集中</w:t>
      </w:r>
    </w:p>
    <w:p w:rsidR="002D273C" w:rsidRDefault="00BA7E2A">
      <w:pPr>
        <w:spacing w:line="640" w:lineRule="exact"/>
        <w:ind w:firstLineChars="200" w:firstLine="640"/>
        <w:rPr>
          <w:rFonts w:ascii="仿宋_GB2312" w:eastAsia="仿宋_GB2312" w:hAnsi="楷体"/>
          <w:b/>
          <w:sz w:val="32"/>
          <w:szCs w:val="32"/>
        </w:rPr>
      </w:pPr>
      <w:r>
        <w:rPr>
          <w:rFonts w:ascii="仿宋_GB2312" w:eastAsia="仿宋_GB2312" w:hint="eastAsia"/>
          <w:sz w:val="32"/>
          <w:szCs w:val="32"/>
        </w:rPr>
        <w:t>2018</w:t>
      </w:r>
      <w:r>
        <w:rPr>
          <w:rFonts w:ascii="仿宋_GB2312" w:eastAsia="仿宋_GB2312" w:hint="eastAsia"/>
          <w:sz w:val="32"/>
          <w:szCs w:val="32"/>
        </w:rPr>
        <w:t>年，全省法院审结的一审案件中，行政机关败诉</w:t>
      </w:r>
      <w:r>
        <w:rPr>
          <w:rFonts w:ascii="仿宋_GB2312" w:eastAsia="仿宋_GB2312" w:hint="eastAsia"/>
          <w:sz w:val="32"/>
          <w:szCs w:val="32"/>
        </w:rPr>
        <w:t>2683</w:t>
      </w:r>
      <w:r>
        <w:rPr>
          <w:rFonts w:ascii="仿宋_GB2312" w:eastAsia="仿宋_GB2312" w:hint="eastAsia"/>
          <w:sz w:val="32"/>
          <w:szCs w:val="32"/>
        </w:rPr>
        <w:t>件，行政机关败诉率为</w:t>
      </w:r>
      <w:r>
        <w:rPr>
          <w:rFonts w:ascii="仿宋_GB2312" w:eastAsia="仿宋_GB2312" w:hint="eastAsia"/>
          <w:sz w:val="32"/>
          <w:szCs w:val="32"/>
        </w:rPr>
        <w:t>16.3%</w:t>
      </w:r>
      <w:r>
        <w:rPr>
          <w:rFonts w:ascii="仿宋_GB2312" w:eastAsia="仿宋_GB2312" w:hint="eastAsia"/>
          <w:sz w:val="32"/>
          <w:szCs w:val="32"/>
        </w:rPr>
        <w:t>，同比上升</w:t>
      </w:r>
      <w:r>
        <w:rPr>
          <w:rFonts w:ascii="仿宋_GB2312" w:eastAsia="仿宋_GB2312" w:hint="eastAsia"/>
          <w:sz w:val="32"/>
          <w:szCs w:val="32"/>
        </w:rPr>
        <w:t>3.2</w:t>
      </w:r>
      <w:r>
        <w:rPr>
          <w:rFonts w:ascii="仿宋_GB2312" w:eastAsia="仿宋_GB2312" w:hint="eastAsia"/>
          <w:sz w:val="32"/>
          <w:szCs w:val="32"/>
        </w:rPr>
        <w:t>个百分点。其中，判决</w:t>
      </w:r>
      <w:r>
        <w:rPr>
          <w:rFonts w:ascii="仿宋_GB2312" w:eastAsia="仿宋_GB2312" w:hAnsi="楷体" w:hint="eastAsia"/>
          <w:sz w:val="32"/>
          <w:szCs w:val="32"/>
        </w:rPr>
        <w:t>撤销或部分撤销行政行为</w:t>
      </w:r>
      <w:r>
        <w:rPr>
          <w:rFonts w:ascii="仿宋_GB2312" w:eastAsia="仿宋_GB2312" w:hAnsi="楷体" w:hint="eastAsia"/>
          <w:sz w:val="32"/>
          <w:szCs w:val="32"/>
        </w:rPr>
        <w:t>1222</w:t>
      </w:r>
      <w:r>
        <w:rPr>
          <w:rFonts w:ascii="仿宋_GB2312" w:eastAsia="仿宋_GB2312" w:hAnsi="楷体" w:hint="eastAsia"/>
          <w:sz w:val="32"/>
          <w:szCs w:val="32"/>
        </w:rPr>
        <w:t>件，确认行政行为违法</w:t>
      </w:r>
      <w:r>
        <w:rPr>
          <w:rFonts w:ascii="仿宋_GB2312" w:eastAsia="仿宋_GB2312" w:hAnsi="楷体" w:hint="eastAsia"/>
          <w:sz w:val="32"/>
          <w:szCs w:val="32"/>
        </w:rPr>
        <w:t>760</w:t>
      </w:r>
      <w:r>
        <w:rPr>
          <w:rFonts w:ascii="仿宋_GB2312" w:eastAsia="仿宋_GB2312" w:hAnsi="楷体" w:hint="eastAsia"/>
          <w:sz w:val="32"/>
          <w:szCs w:val="32"/>
        </w:rPr>
        <w:t>件，责令履行法定职责</w:t>
      </w:r>
      <w:r>
        <w:rPr>
          <w:rFonts w:ascii="仿宋_GB2312" w:eastAsia="仿宋_GB2312" w:hAnsi="楷体" w:hint="eastAsia"/>
          <w:sz w:val="32"/>
          <w:szCs w:val="32"/>
        </w:rPr>
        <w:t>411</w:t>
      </w:r>
      <w:r>
        <w:rPr>
          <w:rFonts w:ascii="仿宋_GB2312" w:eastAsia="仿宋_GB2312" w:hAnsi="楷体" w:hint="eastAsia"/>
          <w:sz w:val="32"/>
          <w:szCs w:val="32"/>
        </w:rPr>
        <w:t>件，确认行政行为无效</w:t>
      </w:r>
      <w:r>
        <w:rPr>
          <w:rFonts w:ascii="仿宋_GB2312" w:eastAsia="仿宋_GB2312" w:hAnsi="楷体" w:hint="eastAsia"/>
          <w:sz w:val="32"/>
          <w:szCs w:val="32"/>
        </w:rPr>
        <w:t>46</w:t>
      </w:r>
      <w:r>
        <w:rPr>
          <w:rFonts w:ascii="仿宋_GB2312" w:eastAsia="仿宋_GB2312" w:hAnsi="楷体" w:hint="eastAsia"/>
          <w:sz w:val="32"/>
          <w:szCs w:val="32"/>
        </w:rPr>
        <w:t>件，判决变更行政行为</w:t>
      </w:r>
      <w:r>
        <w:rPr>
          <w:rFonts w:ascii="仿宋_GB2312" w:eastAsia="仿宋_GB2312" w:hAnsi="楷体" w:hint="eastAsia"/>
          <w:sz w:val="32"/>
          <w:szCs w:val="32"/>
        </w:rPr>
        <w:t>13</w:t>
      </w:r>
      <w:r>
        <w:rPr>
          <w:rFonts w:ascii="仿宋_GB2312" w:eastAsia="仿宋_GB2312" w:hAnsi="楷体" w:hint="eastAsia"/>
          <w:sz w:val="32"/>
          <w:szCs w:val="32"/>
        </w:rPr>
        <w:t>件，</w:t>
      </w:r>
      <w:r>
        <w:rPr>
          <w:rFonts w:ascii="仿宋_GB2312" w:eastAsia="仿宋_GB2312" w:hAnsi="楷体" w:hint="eastAsia"/>
          <w:color w:val="000000" w:themeColor="text1"/>
          <w:sz w:val="32"/>
          <w:szCs w:val="32"/>
        </w:rPr>
        <w:t>单独</w:t>
      </w:r>
      <w:r>
        <w:rPr>
          <w:rFonts w:ascii="仿宋_GB2312" w:eastAsia="仿宋_GB2312" w:hAnsi="楷体" w:hint="eastAsia"/>
          <w:sz w:val="32"/>
          <w:szCs w:val="32"/>
        </w:rPr>
        <w:t>判决承担赔偿责任</w:t>
      </w:r>
      <w:r>
        <w:rPr>
          <w:rFonts w:ascii="仿宋_GB2312" w:eastAsia="仿宋_GB2312" w:hAnsi="楷体" w:hint="eastAsia"/>
          <w:sz w:val="32"/>
          <w:szCs w:val="32"/>
        </w:rPr>
        <w:t>231</w:t>
      </w:r>
      <w:r>
        <w:rPr>
          <w:rFonts w:ascii="仿宋_GB2312" w:eastAsia="仿宋_GB2312" w:hAnsi="楷体" w:hint="eastAsia"/>
          <w:sz w:val="32"/>
          <w:szCs w:val="32"/>
        </w:rPr>
        <w:t>件</w:t>
      </w:r>
      <w:r>
        <w:rPr>
          <w:rFonts w:ascii="仿宋_GB2312" w:eastAsia="仿宋_GB2312" w:hAnsi="楷体" w:hint="eastAsia"/>
          <w:b/>
          <w:sz w:val="32"/>
          <w:szCs w:val="32"/>
        </w:rPr>
        <w:t>。</w:t>
      </w:r>
    </w:p>
    <w:p w:rsidR="002D273C" w:rsidRDefault="00BA7E2A">
      <w:pPr>
        <w:spacing w:line="640" w:lineRule="exact"/>
        <w:ind w:firstLineChars="200" w:firstLine="600"/>
        <w:jc w:val="center"/>
        <w:rPr>
          <w:rFonts w:ascii="黑体" w:eastAsia="黑体" w:hAnsi="黑体" w:cs="黑体"/>
          <w:bCs/>
          <w:sz w:val="30"/>
          <w:szCs w:val="30"/>
        </w:rPr>
      </w:pPr>
      <w:r>
        <w:rPr>
          <w:rFonts w:ascii="黑体" w:eastAsia="黑体" w:hAnsi="黑体" w:cs="黑体" w:hint="eastAsia"/>
          <w:bCs/>
          <w:sz w:val="30"/>
          <w:szCs w:val="30"/>
        </w:rPr>
        <w:t>图五</w:t>
      </w:r>
      <w:r>
        <w:rPr>
          <w:rFonts w:ascii="黑体" w:eastAsia="黑体" w:hAnsi="黑体" w:cs="黑体" w:hint="eastAsia"/>
          <w:bCs/>
          <w:sz w:val="30"/>
          <w:szCs w:val="30"/>
        </w:rPr>
        <w:t xml:space="preserve">  2018</w:t>
      </w:r>
      <w:r>
        <w:rPr>
          <w:rFonts w:ascii="黑体" w:eastAsia="黑体" w:hAnsi="黑体" w:cs="黑体" w:hint="eastAsia"/>
          <w:bCs/>
          <w:sz w:val="30"/>
          <w:szCs w:val="30"/>
        </w:rPr>
        <w:t>年全省行政机关败诉案件判决方式</w:t>
      </w:r>
    </w:p>
    <w:p w:rsidR="002D273C" w:rsidRDefault="002D273C">
      <w:pPr>
        <w:spacing w:line="240" w:lineRule="exact"/>
        <w:ind w:firstLineChars="200" w:firstLine="602"/>
        <w:jc w:val="center"/>
        <w:rPr>
          <w:rFonts w:ascii="仿宋_GB2312" w:eastAsia="仿宋_GB2312" w:hAnsi="楷体"/>
          <w:b/>
          <w:sz w:val="30"/>
          <w:szCs w:val="30"/>
        </w:rPr>
      </w:pPr>
    </w:p>
    <w:p w:rsidR="002D273C" w:rsidRDefault="00BA7E2A">
      <w:pPr>
        <w:spacing w:line="240" w:lineRule="exact"/>
        <w:rPr>
          <w:rFonts w:ascii="仿宋_GB2312" w:eastAsia="仿宋_GB2312" w:hAnsi="华文仿宋" w:cs="华文仿宋"/>
          <w:sz w:val="32"/>
          <w:szCs w:val="32"/>
        </w:rPr>
      </w:pPr>
      <w:r>
        <w:rPr>
          <w:rFonts w:ascii="仿宋_GB2312" w:eastAsia="仿宋_GB2312" w:hAnsi="华文仿宋" w:cs="华文仿宋" w:hint="eastAsia"/>
          <w:noProof/>
          <w:sz w:val="32"/>
          <w:szCs w:val="32"/>
        </w:rPr>
        <w:drawing>
          <wp:anchor distT="0" distB="0" distL="114300" distR="114300" simplePos="0" relativeHeight="251665408" behindDoc="0" locked="0" layoutInCell="1" allowOverlap="1">
            <wp:simplePos x="0" y="0"/>
            <wp:positionH relativeFrom="column">
              <wp:posOffset>35560</wp:posOffset>
            </wp:positionH>
            <wp:positionV relativeFrom="paragraph">
              <wp:posOffset>97155</wp:posOffset>
            </wp:positionV>
            <wp:extent cx="5695950" cy="2971800"/>
            <wp:effectExtent l="4445" t="4445" r="14605" b="14605"/>
            <wp:wrapNone/>
            <wp:docPr id="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20" w:lineRule="exact"/>
        <w:ind w:firstLineChars="200" w:firstLine="640"/>
        <w:rPr>
          <w:rFonts w:ascii="仿宋_GB2312" w:eastAsia="仿宋_GB2312" w:hAnsi="华文仿宋" w:cs="华文仿宋"/>
          <w:sz w:val="32"/>
          <w:szCs w:val="32"/>
        </w:rPr>
      </w:pPr>
    </w:p>
    <w:p w:rsidR="002D273C" w:rsidRDefault="00BA7E2A">
      <w:pPr>
        <w:spacing w:line="52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从败诉行政机关来看，县级政府部门和乡镇政府仍是依法行政的薄弱环节。</w:t>
      </w:r>
      <w:r>
        <w:rPr>
          <w:rFonts w:ascii="仿宋_GB2312" w:eastAsia="仿宋_GB2312" w:hAnsi="华文仿宋" w:cs="华文仿宋" w:hint="eastAsia"/>
          <w:sz w:val="32"/>
          <w:szCs w:val="32"/>
        </w:rPr>
        <w:t>2018</w:t>
      </w:r>
      <w:r>
        <w:rPr>
          <w:rFonts w:ascii="仿宋_GB2312" w:eastAsia="仿宋_GB2312" w:hAnsi="华文仿宋" w:cs="华文仿宋" w:hint="eastAsia"/>
          <w:sz w:val="32"/>
          <w:szCs w:val="32"/>
        </w:rPr>
        <w:t>年，全省法院判决省政府败诉</w:t>
      </w:r>
      <w:r>
        <w:rPr>
          <w:rFonts w:ascii="仿宋_GB2312" w:eastAsia="仿宋_GB2312" w:hAnsi="华文仿宋" w:cs="华文仿宋" w:hint="eastAsia"/>
          <w:sz w:val="32"/>
          <w:szCs w:val="32"/>
        </w:rPr>
        <w:t>12</w:t>
      </w:r>
      <w:r>
        <w:rPr>
          <w:rFonts w:ascii="仿宋_GB2312" w:eastAsia="仿宋_GB2312" w:hAnsi="华文仿宋" w:cs="华文仿宋" w:hint="eastAsia"/>
          <w:sz w:val="32"/>
          <w:szCs w:val="32"/>
        </w:rPr>
        <w:t>件，省级部门</w:t>
      </w:r>
      <w:r>
        <w:rPr>
          <w:rFonts w:ascii="仿宋_GB2312" w:eastAsia="仿宋_GB2312" w:hAnsi="华文仿宋" w:cs="华文仿宋" w:hint="eastAsia"/>
          <w:sz w:val="32"/>
          <w:szCs w:val="32"/>
        </w:rPr>
        <w:t>14</w:t>
      </w:r>
      <w:r>
        <w:rPr>
          <w:rFonts w:ascii="仿宋_GB2312" w:eastAsia="仿宋_GB2312" w:hAnsi="华文仿宋" w:cs="华文仿宋" w:hint="eastAsia"/>
          <w:sz w:val="32"/>
          <w:szCs w:val="32"/>
        </w:rPr>
        <w:t>件，市级政府</w:t>
      </w:r>
      <w:r>
        <w:rPr>
          <w:rFonts w:ascii="仿宋_GB2312" w:eastAsia="仿宋_GB2312" w:hAnsi="华文仿宋" w:cs="华文仿宋" w:hint="eastAsia"/>
          <w:sz w:val="32"/>
          <w:szCs w:val="32"/>
        </w:rPr>
        <w:t>121</w:t>
      </w:r>
      <w:r>
        <w:rPr>
          <w:rFonts w:ascii="仿宋_GB2312" w:eastAsia="仿宋_GB2312" w:hAnsi="华文仿宋" w:cs="华文仿宋" w:hint="eastAsia"/>
          <w:sz w:val="32"/>
          <w:szCs w:val="32"/>
        </w:rPr>
        <w:t>件，市级政府部门</w:t>
      </w:r>
      <w:r>
        <w:rPr>
          <w:rFonts w:ascii="仿宋_GB2312" w:eastAsia="仿宋_GB2312" w:hAnsi="华文仿宋" w:cs="华文仿宋" w:hint="eastAsia"/>
          <w:sz w:val="32"/>
          <w:szCs w:val="32"/>
        </w:rPr>
        <w:t>315</w:t>
      </w:r>
      <w:r>
        <w:rPr>
          <w:rFonts w:ascii="仿宋_GB2312" w:eastAsia="仿宋_GB2312" w:hAnsi="华文仿宋" w:cs="华文仿宋" w:hint="eastAsia"/>
          <w:sz w:val="32"/>
          <w:szCs w:val="32"/>
        </w:rPr>
        <w:t>件，县级政府</w:t>
      </w:r>
      <w:r>
        <w:rPr>
          <w:rFonts w:ascii="仿宋_GB2312" w:eastAsia="仿宋_GB2312" w:hAnsi="华文仿宋" w:cs="华文仿宋" w:hint="eastAsia"/>
          <w:sz w:val="32"/>
          <w:szCs w:val="32"/>
        </w:rPr>
        <w:t>690</w:t>
      </w:r>
      <w:r>
        <w:rPr>
          <w:rFonts w:ascii="仿宋_GB2312" w:eastAsia="仿宋_GB2312" w:hAnsi="华文仿宋" w:cs="华文仿宋" w:hint="eastAsia"/>
          <w:sz w:val="32"/>
          <w:szCs w:val="32"/>
        </w:rPr>
        <w:t>件，县级政府部门</w:t>
      </w:r>
      <w:r>
        <w:rPr>
          <w:rFonts w:ascii="仿宋_GB2312" w:eastAsia="仿宋_GB2312" w:hAnsi="华文仿宋" w:cs="华文仿宋" w:hint="eastAsia"/>
          <w:sz w:val="32"/>
          <w:szCs w:val="32"/>
        </w:rPr>
        <w:t>780</w:t>
      </w:r>
      <w:r>
        <w:rPr>
          <w:rFonts w:ascii="仿宋_GB2312" w:eastAsia="仿宋_GB2312" w:hAnsi="华文仿宋" w:cs="华文仿宋" w:hint="eastAsia"/>
          <w:sz w:val="32"/>
          <w:szCs w:val="32"/>
        </w:rPr>
        <w:t>件，乡镇政府</w:t>
      </w:r>
      <w:r>
        <w:rPr>
          <w:rFonts w:ascii="仿宋_GB2312" w:eastAsia="仿宋_GB2312" w:hAnsi="华文仿宋" w:cs="华文仿宋" w:hint="eastAsia"/>
          <w:sz w:val="32"/>
          <w:szCs w:val="32"/>
        </w:rPr>
        <w:t>751</w:t>
      </w:r>
      <w:r>
        <w:rPr>
          <w:rFonts w:ascii="仿宋_GB2312" w:eastAsia="仿宋_GB2312" w:hAnsi="华文仿宋" w:cs="华文仿宋" w:hint="eastAsia"/>
          <w:sz w:val="32"/>
          <w:szCs w:val="32"/>
        </w:rPr>
        <w:t>件。县级政府部门和乡镇政府合计败诉案件</w:t>
      </w:r>
      <w:r>
        <w:rPr>
          <w:rFonts w:ascii="仿宋_GB2312" w:eastAsia="仿宋_GB2312" w:hAnsi="华文仿宋" w:cs="华文仿宋" w:hint="eastAsia"/>
          <w:sz w:val="32"/>
          <w:szCs w:val="32"/>
        </w:rPr>
        <w:t>1531</w:t>
      </w:r>
      <w:r>
        <w:rPr>
          <w:rFonts w:ascii="仿宋_GB2312" w:eastAsia="仿宋_GB2312" w:hAnsi="华文仿宋" w:cs="华文仿宋" w:hint="eastAsia"/>
          <w:sz w:val="32"/>
          <w:szCs w:val="32"/>
        </w:rPr>
        <w:t>件，占比</w:t>
      </w:r>
      <w:r>
        <w:rPr>
          <w:rFonts w:ascii="仿宋_GB2312" w:eastAsia="仿宋_GB2312" w:hAnsi="华文仿宋" w:cs="华文仿宋" w:hint="eastAsia"/>
          <w:sz w:val="32"/>
          <w:szCs w:val="32"/>
        </w:rPr>
        <w:t>57.1%</w:t>
      </w:r>
      <w:r>
        <w:rPr>
          <w:rFonts w:ascii="仿宋_GB2312" w:eastAsia="仿宋_GB2312" w:hAnsi="华文仿宋" w:cs="华文仿宋" w:hint="eastAsia"/>
          <w:sz w:val="32"/>
          <w:szCs w:val="32"/>
        </w:rPr>
        <w:t>。</w:t>
      </w:r>
    </w:p>
    <w:p w:rsidR="002D273C" w:rsidRDefault="00BA7E2A">
      <w:pPr>
        <w:spacing w:line="560" w:lineRule="exact"/>
        <w:jc w:val="center"/>
        <w:rPr>
          <w:rFonts w:ascii="黑体" w:eastAsia="黑体" w:hAnsi="黑体" w:cs="黑体"/>
          <w:sz w:val="30"/>
          <w:szCs w:val="30"/>
        </w:rPr>
      </w:pPr>
      <w:r>
        <w:rPr>
          <w:rFonts w:ascii="黑体" w:eastAsia="黑体" w:hAnsi="黑体" w:cs="黑体" w:hint="eastAsia"/>
          <w:sz w:val="30"/>
          <w:szCs w:val="30"/>
        </w:rPr>
        <w:lastRenderedPageBreak/>
        <w:t>图六</w:t>
      </w:r>
      <w:r>
        <w:rPr>
          <w:rFonts w:ascii="黑体" w:eastAsia="黑体" w:hAnsi="黑体" w:cs="黑体" w:hint="eastAsia"/>
          <w:sz w:val="30"/>
          <w:szCs w:val="30"/>
        </w:rPr>
        <w:t xml:space="preserve">  2018</w:t>
      </w:r>
      <w:r>
        <w:rPr>
          <w:rFonts w:ascii="黑体" w:eastAsia="黑体" w:hAnsi="黑体" w:cs="黑体" w:hint="eastAsia"/>
          <w:sz w:val="30"/>
          <w:szCs w:val="30"/>
        </w:rPr>
        <w:t>年败诉行政机关层级分布情况</w:t>
      </w:r>
    </w:p>
    <w:p w:rsidR="002D273C" w:rsidRDefault="002D273C">
      <w:pPr>
        <w:spacing w:line="240" w:lineRule="exact"/>
        <w:jc w:val="center"/>
        <w:rPr>
          <w:rFonts w:ascii="黑体" w:eastAsia="黑体" w:hAnsi="黑体" w:cs="黑体"/>
          <w:sz w:val="30"/>
          <w:szCs w:val="30"/>
        </w:rPr>
      </w:pPr>
    </w:p>
    <w:p w:rsidR="002D273C" w:rsidRDefault="00BA7E2A">
      <w:pPr>
        <w:spacing w:line="240" w:lineRule="exact"/>
        <w:jc w:val="center"/>
        <w:rPr>
          <w:rFonts w:ascii="黑体" w:eastAsia="黑体" w:hAnsi="黑体" w:cs="黑体"/>
          <w:sz w:val="30"/>
          <w:szCs w:val="30"/>
        </w:rPr>
      </w:pPr>
      <w:r>
        <w:rPr>
          <w:rFonts w:ascii="黑体" w:eastAsia="黑体" w:hAnsi="黑体" w:cs="黑体" w:hint="eastAsia"/>
          <w:noProof/>
          <w:sz w:val="30"/>
          <w:szCs w:val="30"/>
        </w:rPr>
        <w:drawing>
          <wp:anchor distT="0" distB="0" distL="114300" distR="114300" simplePos="0" relativeHeight="251681792" behindDoc="0" locked="0" layoutInCell="1" allowOverlap="1">
            <wp:simplePos x="0" y="0"/>
            <wp:positionH relativeFrom="column">
              <wp:posOffset>90170</wp:posOffset>
            </wp:positionH>
            <wp:positionV relativeFrom="paragraph">
              <wp:posOffset>71755</wp:posOffset>
            </wp:positionV>
            <wp:extent cx="5491480" cy="2937510"/>
            <wp:effectExtent l="4445" t="4445" r="9525" b="1079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ind w:firstLineChars="200" w:firstLine="640"/>
        <w:rPr>
          <w:rFonts w:ascii="仿宋_GB2312" w:eastAsia="仿宋_GB2312" w:hAnsi="华文仿宋" w:cs="华文仿宋"/>
          <w:sz w:val="32"/>
          <w:szCs w:val="32"/>
        </w:rPr>
      </w:pPr>
    </w:p>
    <w:p w:rsidR="002D273C" w:rsidRDefault="002D273C">
      <w:pPr>
        <w:spacing w:line="560" w:lineRule="exact"/>
        <w:ind w:firstLineChars="200" w:firstLine="640"/>
        <w:rPr>
          <w:rFonts w:ascii="仿宋_GB2312" w:eastAsia="仿宋_GB2312" w:hAnsi="华文仿宋" w:cs="华文仿宋"/>
          <w:sz w:val="32"/>
          <w:szCs w:val="32"/>
        </w:rPr>
      </w:pPr>
    </w:p>
    <w:p w:rsidR="002D273C" w:rsidRDefault="002D273C">
      <w:pPr>
        <w:spacing w:line="560" w:lineRule="exact"/>
        <w:ind w:firstLineChars="200" w:firstLine="640"/>
        <w:rPr>
          <w:rFonts w:ascii="仿宋_GB2312" w:eastAsia="仿宋_GB2312" w:hAnsi="华文仿宋" w:cs="华文仿宋"/>
          <w:sz w:val="32"/>
          <w:szCs w:val="32"/>
        </w:rPr>
      </w:pPr>
    </w:p>
    <w:p w:rsidR="002D273C" w:rsidRDefault="002D273C">
      <w:pPr>
        <w:spacing w:line="600" w:lineRule="exact"/>
        <w:ind w:firstLineChars="200" w:firstLine="640"/>
        <w:rPr>
          <w:rFonts w:ascii="仿宋_GB2312" w:eastAsia="仿宋_GB2312" w:hAnsi="华文仿宋" w:cs="华文仿宋"/>
          <w:sz w:val="32"/>
          <w:szCs w:val="32"/>
        </w:rPr>
      </w:pPr>
    </w:p>
    <w:p w:rsidR="002D273C" w:rsidRDefault="002D273C">
      <w:pPr>
        <w:spacing w:line="600" w:lineRule="exact"/>
        <w:ind w:firstLineChars="200" w:firstLine="640"/>
        <w:rPr>
          <w:rFonts w:ascii="仿宋_GB2312" w:eastAsia="仿宋_GB2312" w:hAnsi="华文仿宋" w:cs="华文仿宋"/>
          <w:sz w:val="32"/>
          <w:szCs w:val="32"/>
        </w:rPr>
      </w:pPr>
    </w:p>
    <w:p w:rsidR="002D273C" w:rsidRDefault="00BA7E2A">
      <w:pPr>
        <w:spacing w:line="60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从败诉行政管理范围看，败诉案件主要集中在：违法建筑拆除（</w:t>
      </w:r>
      <w:r>
        <w:rPr>
          <w:rFonts w:ascii="仿宋_GB2312" w:eastAsia="仿宋_GB2312" w:hAnsi="华文仿宋" w:cs="华文仿宋" w:hint="eastAsia"/>
          <w:sz w:val="32"/>
          <w:szCs w:val="32"/>
        </w:rPr>
        <w:t>411</w:t>
      </w:r>
      <w:r>
        <w:rPr>
          <w:rFonts w:ascii="仿宋_GB2312" w:eastAsia="仿宋_GB2312" w:hAnsi="华文仿宋" w:cs="华文仿宋" w:hint="eastAsia"/>
          <w:sz w:val="32"/>
          <w:szCs w:val="32"/>
        </w:rPr>
        <w:t>件）、因土地征收产生的强制拆除（</w:t>
      </w:r>
      <w:r>
        <w:rPr>
          <w:rFonts w:ascii="仿宋_GB2312" w:eastAsia="仿宋_GB2312" w:hAnsi="华文仿宋" w:cs="华文仿宋" w:hint="eastAsia"/>
          <w:sz w:val="32"/>
          <w:szCs w:val="32"/>
        </w:rPr>
        <w:t>375</w:t>
      </w:r>
      <w:r>
        <w:rPr>
          <w:rFonts w:ascii="仿宋_GB2312" w:eastAsia="仿宋_GB2312" w:hAnsi="华文仿宋" w:cs="华文仿宋" w:hint="eastAsia"/>
          <w:sz w:val="32"/>
          <w:szCs w:val="32"/>
        </w:rPr>
        <w:t>件）、劳动与社会保障（</w:t>
      </w:r>
      <w:r>
        <w:rPr>
          <w:rFonts w:ascii="仿宋_GB2312" w:eastAsia="仿宋_GB2312" w:hAnsi="华文仿宋" w:cs="华文仿宋" w:hint="eastAsia"/>
          <w:sz w:val="32"/>
          <w:szCs w:val="32"/>
        </w:rPr>
        <w:t>236</w:t>
      </w:r>
      <w:r>
        <w:rPr>
          <w:rFonts w:ascii="仿宋_GB2312" w:eastAsia="仿宋_GB2312" w:hAnsi="华文仿宋" w:cs="华文仿宋" w:hint="eastAsia"/>
          <w:sz w:val="32"/>
          <w:szCs w:val="32"/>
        </w:rPr>
        <w:t>件）、集体土地征收（</w:t>
      </w:r>
      <w:r>
        <w:rPr>
          <w:rFonts w:ascii="仿宋_GB2312" w:eastAsia="仿宋_GB2312" w:hAnsi="华文仿宋" w:cs="华文仿宋" w:hint="eastAsia"/>
          <w:sz w:val="32"/>
          <w:szCs w:val="32"/>
        </w:rPr>
        <w:t>234</w:t>
      </w:r>
      <w:r>
        <w:rPr>
          <w:rFonts w:ascii="仿宋_GB2312" w:eastAsia="仿宋_GB2312" w:hAnsi="华文仿宋" w:cs="华文仿宋" w:hint="eastAsia"/>
          <w:sz w:val="32"/>
          <w:szCs w:val="32"/>
        </w:rPr>
        <w:t>件）</w:t>
      </w:r>
      <w:r>
        <w:rPr>
          <w:rFonts w:ascii="仿宋_GB2312" w:eastAsia="仿宋_GB2312" w:hAnsi="华文仿宋" w:cs="华文仿宋" w:hint="eastAsia"/>
          <w:sz w:val="32"/>
          <w:szCs w:val="32"/>
        </w:rPr>
        <w:t>、国有土地上房屋征收（</w:t>
      </w:r>
      <w:r>
        <w:rPr>
          <w:rFonts w:ascii="仿宋_GB2312" w:eastAsia="仿宋_GB2312" w:hAnsi="华文仿宋" w:cs="华文仿宋" w:hint="eastAsia"/>
          <w:sz w:val="32"/>
          <w:szCs w:val="32"/>
        </w:rPr>
        <w:t>216</w:t>
      </w:r>
      <w:r>
        <w:rPr>
          <w:rFonts w:ascii="仿宋_GB2312" w:eastAsia="仿宋_GB2312" w:hAnsi="华文仿宋" w:cs="华文仿宋" w:hint="eastAsia"/>
          <w:sz w:val="32"/>
          <w:szCs w:val="32"/>
        </w:rPr>
        <w:t>件）、公安行政（</w:t>
      </w:r>
      <w:r>
        <w:rPr>
          <w:rFonts w:ascii="仿宋_GB2312" w:eastAsia="仿宋_GB2312" w:hAnsi="华文仿宋" w:cs="华文仿宋" w:hint="eastAsia"/>
          <w:sz w:val="32"/>
          <w:szCs w:val="32"/>
        </w:rPr>
        <w:t>167</w:t>
      </w:r>
      <w:r>
        <w:rPr>
          <w:rFonts w:ascii="仿宋_GB2312" w:eastAsia="仿宋_GB2312" w:hAnsi="华文仿宋" w:cs="华文仿宋" w:hint="eastAsia"/>
          <w:sz w:val="32"/>
          <w:szCs w:val="32"/>
        </w:rPr>
        <w:t>件）、因房屋征收产生的强制拆除（</w:t>
      </w:r>
      <w:r>
        <w:rPr>
          <w:rFonts w:ascii="仿宋_GB2312" w:eastAsia="仿宋_GB2312" w:hAnsi="华文仿宋" w:cs="华文仿宋" w:hint="eastAsia"/>
          <w:sz w:val="32"/>
          <w:szCs w:val="32"/>
        </w:rPr>
        <w:t>142</w:t>
      </w:r>
      <w:r>
        <w:rPr>
          <w:rFonts w:ascii="仿宋_GB2312" w:eastAsia="仿宋_GB2312" w:hAnsi="华文仿宋" w:cs="华文仿宋" w:hint="eastAsia"/>
          <w:sz w:val="32"/>
          <w:szCs w:val="32"/>
        </w:rPr>
        <w:t>件）和工商管理（</w:t>
      </w:r>
      <w:r>
        <w:rPr>
          <w:rFonts w:ascii="仿宋_GB2312" w:eastAsia="仿宋_GB2312" w:hAnsi="华文仿宋" w:cs="华文仿宋" w:hint="eastAsia"/>
          <w:sz w:val="32"/>
          <w:szCs w:val="32"/>
        </w:rPr>
        <w:t>137</w:t>
      </w:r>
      <w:r>
        <w:rPr>
          <w:rFonts w:ascii="仿宋_GB2312" w:eastAsia="仿宋_GB2312" w:hAnsi="华文仿宋" w:cs="华文仿宋" w:hint="eastAsia"/>
          <w:sz w:val="32"/>
          <w:szCs w:val="32"/>
        </w:rPr>
        <w:t>件），以上八类案件占行政机关败诉案件的</w:t>
      </w:r>
      <w:r>
        <w:rPr>
          <w:rFonts w:ascii="仿宋_GB2312" w:eastAsia="仿宋_GB2312" w:hAnsi="华文仿宋" w:cs="华文仿宋" w:hint="eastAsia"/>
          <w:sz w:val="32"/>
          <w:szCs w:val="32"/>
        </w:rPr>
        <w:t>72%</w:t>
      </w:r>
      <w:r>
        <w:rPr>
          <w:rFonts w:ascii="仿宋_GB2312" w:eastAsia="仿宋_GB2312" w:hAnsi="华文仿宋" w:cs="华文仿宋" w:hint="eastAsia"/>
          <w:sz w:val="32"/>
          <w:szCs w:val="32"/>
        </w:rPr>
        <w:t>。</w:t>
      </w:r>
    </w:p>
    <w:p w:rsidR="002D273C" w:rsidRDefault="002D273C">
      <w:pPr>
        <w:spacing w:line="560" w:lineRule="exact"/>
        <w:ind w:firstLineChars="200" w:firstLine="640"/>
        <w:rPr>
          <w:rFonts w:ascii="仿宋_GB2312" w:eastAsia="仿宋_GB2312" w:hAnsi="华文仿宋" w:cs="华文仿宋"/>
          <w:sz w:val="32"/>
          <w:szCs w:val="32"/>
        </w:rPr>
      </w:pPr>
    </w:p>
    <w:p w:rsidR="002D273C" w:rsidRDefault="002D273C">
      <w:pPr>
        <w:spacing w:line="560" w:lineRule="exact"/>
        <w:ind w:firstLineChars="200" w:firstLine="640"/>
        <w:rPr>
          <w:rFonts w:ascii="仿宋_GB2312" w:eastAsia="仿宋_GB2312" w:hAnsi="华文仿宋" w:cs="华文仿宋"/>
          <w:sz w:val="32"/>
          <w:szCs w:val="32"/>
        </w:rPr>
      </w:pPr>
    </w:p>
    <w:p w:rsidR="002D273C" w:rsidRDefault="002D273C">
      <w:pPr>
        <w:spacing w:line="560" w:lineRule="exact"/>
        <w:ind w:firstLineChars="200" w:firstLine="640"/>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BA7E2A">
      <w:pPr>
        <w:spacing w:line="560" w:lineRule="exact"/>
        <w:jc w:val="center"/>
        <w:rPr>
          <w:rFonts w:ascii="黑体" w:eastAsia="黑体" w:hAnsi="黑体" w:cs="黑体"/>
          <w:sz w:val="30"/>
          <w:szCs w:val="30"/>
        </w:rPr>
      </w:pPr>
      <w:r>
        <w:rPr>
          <w:rFonts w:ascii="黑体" w:eastAsia="黑体" w:hAnsi="黑体" w:cs="黑体" w:hint="eastAsia"/>
          <w:sz w:val="30"/>
          <w:szCs w:val="30"/>
        </w:rPr>
        <w:lastRenderedPageBreak/>
        <w:t>图七</w:t>
      </w:r>
      <w:r>
        <w:rPr>
          <w:rFonts w:ascii="黑体" w:eastAsia="黑体" w:hAnsi="黑体" w:cs="黑体" w:hint="eastAsia"/>
          <w:sz w:val="30"/>
          <w:szCs w:val="30"/>
        </w:rPr>
        <w:t xml:space="preserve">  2018</w:t>
      </w:r>
      <w:r>
        <w:rPr>
          <w:rFonts w:ascii="黑体" w:eastAsia="黑体" w:hAnsi="黑体" w:cs="黑体" w:hint="eastAsia"/>
          <w:sz w:val="30"/>
          <w:szCs w:val="30"/>
        </w:rPr>
        <w:t>年行政机关败诉案件管理领域分布图</w:t>
      </w:r>
    </w:p>
    <w:p w:rsidR="002D273C" w:rsidRDefault="00BA7E2A">
      <w:pPr>
        <w:spacing w:line="560" w:lineRule="exact"/>
        <w:rPr>
          <w:rFonts w:ascii="仿宋_GB2312" w:eastAsia="仿宋_GB2312" w:hAnsi="华文仿宋" w:cs="华文仿宋"/>
          <w:sz w:val="32"/>
          <w:szCs w:val="32"/>
        </w:rPr>
      </w:pPr>
      <w:r>
        <w:rPr>
          <w:rFonts w:ascii="仿宋_GB2312" w:eastAsia="仿宋_GB2312" w:hAnsi="华文仿宋" w:cs="华文仿宋" w:hint="eastAsia"/>
          <w:noProof/>
          <w:sz w:val="30"/>
          <w:szCs w:val="30"/>
        </w:rPr>
        <w:drawing>
          <wp:anchor distT="0" distB="0" distL="114300" distR="114300" simplePos="0" relativeHeight="251669504" behindDoc="0" locked="0" layoutInCell="1" allowOverlap="1">
            <wp:simplePos x="0" y="0"/>
            <wp:positionH relativeFrom="column">
              <wp:posOffset>254635</wp:posOffset>
            </wp:positionH>
            <wp:positionV relativeFrom="paragraph">
              <wp:posOffset>12700</wp:posOffset>
            </wp:positionV>
            <wp:extent cx="5514975" cy="3915410"/>
            <wp:effectExtent l="0" t="0" r="9525" b="8890"/>
            <wp:wrapNone/>
            <wp:docPr id="5"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2D273C">
      <w:pPr>
        <w:spacing w:line="560" w:lineRule="exact"/>
        <w:rPr>
          <w:rFonts w:ascii="仿宋_GB2312" w:eastAsia="仿宋_GB2312" w:hAnsi="华文仿宋" w:cs="华文仿宋"/>
          <w:sz w:val="32"/>
          <w:szCs w:val="32"/>
        </w:rPr>
      </w:pPr>
    </w:p>
    <w:p w:rsidR="002D273C" w:rsidRDefault="00BA7E2A">
      <w:pPr>
        <w:spacing w:line="600" w:lineRule="exact"/>
        <w:ind w:firstLineChars="200" w:firstLine="640"/>
        <w:rPr>
          <w:rFonts w:ascii="仿宋_GB2312" w:eastAsia="仿宋_GB2312" w:hAnsi="华文仿宋" w:cs="华文仿宋"/>
          <w:sz w:val="32"/>
          <w:szCs w:val="32"/>
        </w:rPr>
      </w:pPr>
      <w:r>
        <w:rPr>
          <w:rFonts w:ascii="仿宋_GB2312" w:eastAsia="仿宋_GB2312" w:hAnsi="华文仿宋" w:cs="华文仿宋" w:hint="eastAsia"/>
          <w:sz w:val="32"/>
          <w:szCs w:val="32"/>
        </w:rPr>
        <w:t>从败诉行为种类看，败诉案件主要集中在：行政强制（</w:t>
      </w:r>
      <w:r>
        <w:rPr>
          <w:rFonts w:ascii="仿宋_GB2312" w:eastAsia="仿宋_GB2312" w:hAnsi="华文仿宋" w:cs="华文仿宋" w:hint="eastAsia"/>
          <w:sz w:val="32"/>
          <w:szCs w:val="32"/>
        </w:rPr>
        <w:t>610</w:t>
      </w:r>
      <w:r>
        <w:rPr>
          <w:rFonts w:ascii="仿宋_GB2312" w:eastAsia="仿宋_GB2312" w:hAnsi="华文仿宋" w:cs="华文仿宋" w:hint="eastAsia"/>
          <w:sz w:val="32"/>
          <w:szCs w:val="32"/>
        </w:rPr>
        <w:t>件）、要求履行法定职责（</w:t>
      </w:r>
      <w:r>
        <w:rPr>
          <w:rFonts w:ascii="仿宋_GB2312" w:eastAsia="仿宋_GB2312" w:hAnsi="华文仿宋" w:cs="华文仿宋" w:hint="eastAsia"/>
          <w:sz w:val="32"/>
          <w:szCs w:val="32"/>
        </w:rPr>
        <w:t>406</w:t>
      </w:r>
      <w:r>
        <w:rPr>
          <w:rFonts w:ascii="仿宋_GB2312" w:eastAsia="仿宋_GB2312" w:hAnsi="华文仿宋" w:cs="华文仿宋" w:hint="eastAsia"/>
          <w:sz w:val="32"/>
          <w:szCs w:val="32"/>
        </w:rPr>
        <w:t>件）、行政登记（</w:t>
      </w:r>
      <w:r>
        <w:rPr>
          <w:rFonts w:ascii="仿宋_GB2312" w:eastAsia="仿宋_GB2312" w:hAnsi="华文仿宋" w:cs="华文仿宋" w:hint="eastAsia"/>
          <w:sz w:val="32"/>
          <w:szCs w:val="32"/>
        </w:rPr>
        <w:t>381</w:t>
      </w:r>
      <w:r>
        <w:rPr>
          <w:rFonts w:ascii="仿宋_GB2312" w:eastAsia="仿宋_GB2312" w:hAnsi="华文仿宋" w:cs="华文仿宋" w:hint="eastAsia"/>
          <w:sz w:val="32"/>
          <w:szCs w:val="32"/>
        </w:rPr>
        <w:t>件）、行政征收（</w:t>
      </w:r>
      <w:r>
        <w:rPr>
          <w:rFonts w:ascii="仿宋_GB2312" w:eastAsia="仿宋_GB2312" w:hAnsi="华文仿宋" w:cs="华文仿宋" w:hint="eastAsia"/>
          <w:sz w:val="32"/>
          <w:szCs w:val="32"/>
        </w:rPr>
        <w:t>313</w:t>
      </w:r>
      <w:r>
        <w:rPr>
          <w:rFonts w:ascii="仿宋_GB2312" w:eastAsia="仿宋_GB2312" w:hAnsi="华文仿宋" w:cs="华文仿宋" w:hint="eastAsia"/>
          <w:sz w:val="32"/>
          <w:szCs w:val="32"/>
        </w:rPr>
        <w:t>件）、政府信息公开（</w:t>
      </w:r>
      <w:r>
        <w:rPr>
          <w:rFonts w:ascii="仿宋_GB2312" w:eastAsia="仿宋_GB2312" w:hAnsi="华文仿宋" w:cs="华文仿宋" w:hint="eastAsia"/>
          <w:sz w:val="32"/>
          <w:szCs w:val="32"/>
        </w:rPr>
        <w:t>280</w:t>
      </w:r>
      <w:r>
        <w:rPr>
          <w:rFonts w:ascii="仿宋_GB2312" w:eastAsia="仿宋_GB2312" w:hAnsi="华文仿宋" w:cs="华文仿宋" w:hint="eastAsia"/>
          <w:sz w:val="32"/>
          <w:szCs w:val="32"/>
        </w:rPr>
        <w:t>件）、行政处罚（</w:t>
      </w:r>
      <w:r>
        <w:rPr>
          <w:rFonts w:ascii="仿宋_GB2312" w:eastAsia="仿宋_GB2312" w:hAnsi="华文仿宋" w:cs="华文仿宋" w:hint="eastAsia"/>
          <w:sz w:val="32"/>
          <w:szCs w:val="32"/>
        </w:rPr>
        <w:t>251</w:t>
      </w:r>
      <w:r>
        <w:rPr>
          <w:rFonts w:ascii="仿宋_GB2312" w:eastAsia="仿宋_GB2312" w:hAnsi="华文仿宋" w:cs="华文仿宋" w:hint="eastAsia"/>
          <w:sz w:val="32"/>
          <w:szCs w:val="32"/>
        </w:rPr>
        <w:t>件）和行政复议（</w:t>
      </w:r>
      <w:r>
        <w:rPr>
          <w:rFonts w:ascii="仿宋_GB2312" w:eastAsia="仿宋_GB2312" w:hAnsi="华文仿宋" w:cs="华文仿宋" w:hint="eastAsia"/>
          <w:sz w:val="32"/>
          <w:szCs w:val="32"/>
        </w:rPr>
        <w:t>150</w:t>
      </w:r>
      <w:r>
        <w:rPr>
          <w:rFonts w:ascii="仿宋_GB2312" w:eastAsia="仿宋_GB2312" w:hAnsi="华文仿宋" w:cs="华文仿宋" w:hint="eastAsia"/>
          <w:sz w:val="32"/>
          <w:szCs w:val="32"/>
        </w:rPr>
        <w:t>件），以上七类案件占行政机关败诉案件的</w:t>
      </w:r>
      <w:r>
        <w:rPr>
          <w:rFonts w:ascii="仿宋_GB2312" w:eastAsia="仿宋_GB2312" w:hAnsi="华文仿宋" w:cs="华文仿宋" w:hint="eastAsia"/>
          <w:sz w:val="32"/>
          <w:szCs w:val="32"/>
        </w:rPr>
        <w:t>89%</w:t>
      </w:r>
      <w:r>
        <w:rPr>
          <w:rFonts w:ascii="仿宋_GB2312" w:eastAsia="仿宋_GB2312" w:hAnsi="华文仿宋" w:cs="华文仿宋" w:hint="eastAsia"/>
          <w:sz w:val="32"/>
          <w:szCs w:val="32"/>
        </w:rPr>
        <w:t>。</w:t>
      </w:r>
    </w:p>
    <w:p w:rsidR="002D273C" w:rsidRDefault="002D273C">
      <w:pPr>
        <w:spacing w:line="600" w:lineRule="exact"/>
        <w:ind w:firstLineChars="200" w:firstLine="640"/>
        <w:rPr>
          <w:rFonts w:ascii="仿宋_GB2312" w:eastAsia="仿宋_GB2312" w:hAnsi="华文仿宋" w:cs="华文仿宋"/>
          <w:sz w:val="32"/>
          <w:szCs w:val="32"/>
        </w:rPr>
      </w:pPr>
    </w:p>
    <w:p w:rsidR="002D273C" w:rsidRDefault="002D273C">
      <w:pPr>
        <w:spacing w:line="600" w:lineRule="exact"/>
        <w:ind w:firstLineChars="200" w:firstLine="640"/>
        <w:rPr>
          <w:rFonts w:ascii="仿宋_GB2312" w:eastAsia="仿宋_GB2312" w:hAnsi="华文仿宋" w:cs="华文仿宋"/>
          <w:sz w:val="32"/>
          <w:szCs w:val="32"/>
        </w:rPr>
      </w:pPr>
    </w:p>
    <w:p w:rsidR="002D273C" w:rsidRDefault="002D273C">
      <w:pPr>
        <w:spacing w:line="600" w:lineRule="exact"/>
        <w:ind w:firstLineChars="200" w:firstLine="640"/>
        <w:rPr>
          <w:rFonts w:ascii="仿宋_GB2312" w:eastAsia="仿宋_GB2312" w:hAnsi="华文仿宋" w:cs="华文仿宋"/>
          <w:sz w:val="32"/>
          <w:szCs w:val="32"/>
        </w:rPr>
      </w:pPr>
    </w:p>
    <w:p w:rsidR="002D273C" w:rsidRDefault="002D273C">
      <w:pPr>
        <w:spacing w:line="600" w:lineRule="exact"/>
        <w:rPr>
          <w:rFonts w:ascii="仿宋_GB2312" w:eastAsia="仿宋_GB2312" w:hAnsi="华文仿宋" w:cs="华文仿宋"/>
          <w:sz w:val="32"/>
          <w:szCs w:val="32"/>
        </w:rPr>
      </w:pPr>
    </w:p>
    <w:p w:rsidR="002D273C" w:rsidRDefault="00BA7E2A">
      <w:pPr>
        <w:spacing w:line="600" w:lineRule="exact"/>
        <w:ind w:firstLineChars="200" w:firstLine="600"/>
        <w:jc w:val="center"/>
        <w:rPr>
          <w:rFonts w:ascii="黑体" w:eastAsia="黑体" w:hAnsi="黑体" w:cs="黑体"/>
          <w:sz w:val="30"/>
          <w:szCs w:val="30"/>
        </w:rPr>
      </w:pPr>
      <w:r>
        <w:rPr>
          <w:rFonts w:ascii="黑体" w:eastAsia="黑体" w:hAnsi="黑体" w:cs="黑体" w:hint="eastAsia"/>
          <w:sz w:val="30"/>
          <w:szCs w:val="30"/>
        </w:rPr>
        <w:lastRenderedPageBreak/>
        <w:t>图八</w:t>
      </w:r>
      <w:r>
        <w:rPr>
          <w:rFonts w:ascii="黑体" w:eastAsia="黑体" w:hAnsi="黑体" w:cs="黑体" w:hint="eastAsia"/>
          <w:sz w:val="30"/>
          <w:szCs w:val="30"/>
        </w:rPr>
        <w:t xml:space="preserve">  </w:t>
      </w:r>
      <w:r>
        <w:rPr>
          <w:rFonts w:ascii="黑体" w:eastAsia="黑体" w:hAnsi="黑体" w:cs="黑体" w:hint="eastAsia"/>
          <w:sz w:val="30"/>
          <w:szCs w:val="30"/>
        </w:rPr>
        <w:t>2018</w:t>
      </w:r>
      <w:r>
        <w:rPr>
          <w:rFonts w:ascii="黑体" w:eastAsia="黑体" w:hAnsi="黑体" w:cs="黑体" w:hint="eastAsia"/>
          <w:sz w:val="30"/>
          <w:szCs w:val="30"/>
        </w:rPr>
        <w:t>年行政机关败诉案件类型分布图</w:t>
      </w:r>
    </w:p>
    <w:p w:rsidR="002D273C" w:rsidRDefault="002D273C">
      <w:pPr>
        <w:spacing w:line="320" w:lineRule="exact"/>
        <w:ind w:firstLineChars="200" w:firstLine="600"/>
        <w:jc w:val="center"/>
        <w:rPr>
          <w:rFonts w:ascii="黑体" w:eastAsia="黑体" w:hAnsi="黑体" w:cs="黑体"/>
          <w:sz w:val="30"/>
          <w:szCs w:val="30"/>
        </w:rPr>
      </w:pPr>
    </w:p>
    <w:p w:rsidR="002D273C" w:rsidRDefault="00BA7E2A">
      <w:pPr>
        <w:spacing w:line="720" w:lineRule="auto"/>
        <w:rPr>
          <w:rFonts w:ascii="仿宋_GB2312" w:eastAsia="仿宋_GB2312"/>
          <w:sz w:val="32"/>
          <w:szCs w:val="32"/>
        </w:rPr>
      </w:pPr>
      <w:r>
        <w:rPr>
          <w:rFonts w:ascii="仿宋_GB2312" w:eastAsia="仿宋_GB2312"/>
          <w:noProof/>
          <w:sz w:val="32"/>
          <w:szCs w:val="32"/>
        </w:rPr>
        <w:drawing>
          <wp:inline distT="0" distB="0" distL="0" distR="0">
            <wp:extent cx="5710555" cy="3294380"/>
            <wp:effectExtent l="0" t="0" r="4445" b="1270"/>
            <wp:docPr id="19" name="图表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D273C" w:rsidRDefault="00BA7E2A">
      <w:pPr>
        <w:spacing w:line="600" w:lineRule="exact"/>
        <w:ind w:firstLineChars="200" w:firstLine="640"/>
        <w:rPr>
          <w:rFonts w:ascii="仿宋_GB2312" w:eastAsia="仿宋_GB2312"/>
          <w:sz w:val="32"/>
          <w:szCs w:val="32"/>
        </w:rPr>
      </w:pPr>
      <w:r>
        <w:rPr>
          <w:rFonts w:ascii="仿宋_GB2312" w:eastAsia="仿宋_GB2312" w:hint="eastAsia"/>
          <w:sz w:val="32"/>
          <w:szCs w:val="32"/>
        </w:rPr>
        <w:t>从全省情况看，枣庄、东营、日照、聊城、菏泽五市行政机关败诉率超过</w:t>
      </w:r>
      <w:r>
        <w:rPr>
          <w:rFonts w:ascii="仿宋_GB2312" w:eastAsia="仿宋_GB2312" w:hint="eastAsia"/>
          <w:sz w:val="32"/>
          <w:szCs w:val="32"/>
        </w:rPr>
        <w:t>20%</w:t>
      </w:r>
      <w:r>
        <w:rPr>
          <w:rFonts w:ascii="仿宋_GB2312" w:eastAsia="仿宋_GB2312" w:hint="eastAsia"/>
          <w:sz w:val="32"/>
          <w:szCs w:val="32"/>
        </w:rPr>
        <w:t>，潍坊、济宁、德州、聊城同比下降。</w:t>
      </w:r>
    </w:p>
    <w:p w:rsidR="002D273C" w:rsidRDefault="002D273C">
      <w:pPr>
        <w:spacing w:line="400" w:lineRule="exact"/>
        <w:ind w:firstLineChars="200" w:firstLine="640"/>
        <w:rPr>
          <w:rFonts w:ascii="仿宋_GB2312" w:eastAsia="仿宋_GB2312"/>
          <w:sz w:val="32"/>
          <w:szCs w:val="32"/>
        </w:rPr>
      </w:pPr>
    </w:p>
    <w:p w:rsidR="002D273C" w:rsidRDefault="00BA7E2A">
      <w:pPr>
        <w:spacing w:line="700" w:lineRule="exact"/>
        <w:jc w:val="center"/>
        <w:rPr>
          <w:rFonts w:ascii="黑体" w:eastAsia="黑体" w:hAnsi="黑体"/>
          <w:sz w:val="30"/>
          <w:szCs w:val="30"/>
        </w:rPr>
      </w:pPr>
      <w:r>
        <w:rPr>
          <w:rFonts w:ascii="黑体" w:eastAsia="黑体" w:hAnsi="黑体" w:hint="eastAsia"/>
          <w:sz w:val="30"/>
          <w:szCs w:val="30"/>
        </w:rPr>
        <w:t>表一</w:t>
      </w:r>
      <w:r>
        <w:rPr>
          <w:rFonts w:ascii="黑体" w:eastAsia="黑体" w:hAnsi="黑体" w:hint="eastAsia"/>
          <w:sz w:val="30"/>
          <w:szCs w:val="30"/>
        </w:rPr>
        <w:t xml:space="preserve">  </w:t>
      </w:r>
      <w:r>
        <w:rPr>
          <w:rFonts w:ascii="黑体" w:eastAsia="黑体" w:hAnsi="黑体" w:hint="eastAsia"/>
          <w:sz w:val="30"/>
          <w:szCs w:val="30"/>
        </w:rPr>
        <w:t>全省法院一审行政案件行政机关败诉情况</w:t>
      </w:r>
    </w:p>
    <w:p w:rsidR="002D273C" w:rsidRDefault="002D273C">
      <w:pPr>
        <w:spacing w:line="320" w:lineRule="exact"/>
        <w:jc w:val="center"/>
        <w:rPr>
          <w:rFonts w:ascii="黑体" w:eastAsia="黑体" w:hAnsi="黑体"/>
          <w:sz w:val="30"/>
          <w:szCs w:val="30"/>
        </w:rPr>
      </w:pPr>
    </w:p>
    <w:tbl>
      <w:tblPr>
        <w:tblW w:w="8080" w:type="dxa"/>
        <w:tblInd w:w="392" w:type="dxa"/>
        <w:tblLayout w:type="fixed"/>
        <w:tblLook w:val="04A0"/>
      </w:tblPr>
      <w:tblGrid>
        <w:gridCol w:w="1417"/>
        <w:gridCol w:w="1985"/>
        <w:gridCol w:w="1984"/>
        <w:gridCol w:w="2694"/>
      </w:tblGrid>
      <w:tr w:rsidR="002D273C">
        <w:trPr>
          <w:trHeight w:val="425"/>
          <w:tblHeader/>
        </w:trPr>
        <w:tc>
          <w:tcPr>
            <w:tcW w:w="1417" w:type="dxa"/>
            <w:tcBorders>
              <w:top w:val="single" w:sz="12" w:space="0" w:color="auto"/>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 xml:space="preserve">　</w:t>
            </w:r>
          </w:p>
        </w:tc>
        <w:tc>
          <w:tcPr>
            <w:tcW w:w="1985" w:type="dxa"/>
            <w:tcBorders>
              <w:top w:val="single" w:sz="12" w:space="0" w:color="auto"/>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2018</w:t>
            </w:r>
            <w:r>
              <w:rPr>
                <w:rFonts w:ascii="黑体" w:eastAsia="黑体" w:hAnsi="宋体" w:cs="宋体" w:hint="eastAsia"/>
                <w:sz w:val="24"/>
              </w:rPr>
              <w:t>年行政机关败诉率</w:t>
            </w:r>
          </w:p>
        </w:tc>
        <w:tc>
          <w:tcPr>
            <w:tcW w:w="1984" w:type="dxa"/>
            <w:tcBorders>
              <w:top w:val="single" w:sz="12" w:space="0" w:color="auto"/>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2017</w:t>
            </w:r>
            <w:r>
              <w:rPr>
                <w:rFonts w:ascii="黑体" w:eastAsia="黑体" w:hAnsi="宋体" w:cs="宋体" w:hint="eastAsia"/>
                <w:sz w:val="24"/>
              </w:rPr>
              <w:t>年行政机关败诉率</w:t>
            </w:r>
          </w:p>
        </w:tc>
        <w:tc>
          <w:tcPr>
            <w:tcW w:w="2694" w:type="dxa"/>
            <w:tcBorders>
              <w:top w:val="single" w:sz="12" w:space="0" w:color="auto"/>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同比（百分点）</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济南</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14.</w:t>
            </w:r>
            <w:r>
              <w:rPr>
                <w:rFonts w:ascii="黑体" w:eastAsia="黑体" w:hAnsi="宋体" w:cs="宋体" w:hint="eastAsia"/>
                <w:sz w:val="24"/>
              </w:rPr>
              <w:t>0</w:t>
            </w:r>
            <w:r>
              <w:rPr>
                <w:rFonts w:ascii="黑体" w:eastAsia="黑体" w:hAnsi="宋体" w:cs="宋体"/>
                <w:sz w:val="24"/>
              </w:rPr>
              <w:t>%</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9.7%</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4.3</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青岛</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11</w:t>
            </w:r>
            <w:r>
              <w:rPr>
                <w:rFonts w:ascii="黑体" w:eastAsia="黑体" w:hAnsi="宋体" w:cs="宋体" w:hint="eastAsia"/>
                <w:sz w:val="24"/>
              </w:rPr>
              <w:t>.0</w:t>
            </w:r>
            <w:r>
              <w:rPr>
                <w:rFonts w:ascii="黑体" w:eastAsia="黑体" w:hAnsi="宋体" w:cs="宋体"/>
                <w:sz w:val="24"/>
              </w:rPr>
              <w:t>%</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9.7%</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1.3</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淄博</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16</w:t>
            </w:r>
            <w:r>
              <w:rPr>
                <w:rFonts w:ascii="黑体" w:eastAsia="黑体" w:hAnsi="宋体" w:cs="宋体" w:hint="eastAsia"/>
                <w:sz w:val="24"/>
              </w:rPr>
              <w:t>.0</w:t>
            </w:r>
            <w:r>
              <w:rPr>
                <w:rFonts w:ascii="黑体" w:eastAsia="黑体" w:hAnsi="宋体" w:cs="宋体"/>
                <w:sz w:val="24"/>
              </w:rPr>
              <w:t>%</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10.5%</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5.5</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枣庄</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30.3%</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19.5%</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10.8</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东营</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2</w:t>
            </w:r>
            <w:r>
              <w:rPr>
                <w:rFonts w:ascii="黑体" w:eastAsia="黑体" w:hAnsi="宋体" w:cs="宋体" w:hint="eastAsia"/>
                <w:sz w:val="24"/>
              </w:rPr>
              <w:t>3.1</w:t>
            </w:r>
            <w:r>
              <w:rPr>
                <w:rFonts w:ascii="黑体" w:eastAsia="黑体" w:hAnsi="宋体" w:cs="宋体"/>
                <w:sz w:val="24"/>
              </w:rPr>
              <w:t>%</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10.5%</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12.6</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烟台</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13.</w:t>
            </w:r>
            <w:r>
              <w:rPr>
                <w:rFonts w:ascii="黑体" w:eastAsia="黑体" w:hAnsi="宋体" w:cs="宋体" w:hint="eastAsia"/>
                <w:sz w:val="24"/>
              </w:rPr>
              <w:t>8</w:t>
            </w:r>
            <w:r>
              <w:rPr>
                <w:rFonts w:ascii="黑体" w:eastAsia="黑体" w:hAnsi="宋体" w:cs="宋体"/>
                <w:sz w:val="24"/>
              </w:rPr>
              <w:t>%</w:t>
            </w:r>
            <w:bookmarkStart w:id="0" w:name="_GoBack"/>
            <w:bookmarkEnd w:id="0"/>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13.7%</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0.1</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潍坊</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13.2%</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16.3%</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-3.1</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lastRenderedPageBreak/>
              <w:t>济宁</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17.8%</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17.9%</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-0.1</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泰安</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14.1%</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8.8%</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5.3</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威海</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12.3%</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8.0%</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4.3</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日照</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27.4%</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10.7%</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16.7</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滨州</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1</w:t>
            </w:r>
            <w:r>
              <w:rPr>
                <w:rFonts w:ascii="黑体" w:eastAsia="黑体" w:hAnsi="宋体" w:cs="宋体" w:hint="eastAsia"/>
                <w:sz w:val="24"/>
              </w:rPr>
              <w:t>4.5</w:t>
            </w:r>
            <w:r>
              <w:rPr>
                <w:rFonts w:ascii="黑体" w:eastAsia="黑体" w:hAnsi="宋体" w:cs="宋体"/>
                <w:sz w:val="24"/>
              </w:rPr>
              <w:t>%</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7.5%</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7.0</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德州</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13.5%</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14.2%</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-0.7</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聊城</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21.5%</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32.5%</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-11.0</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临沂</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18</w:t>
            </w:r>
            <w:r>
              <w:rPr>
                <w:rFonts w:ascii="黑体" w:eastAsia="黑体" w:hAnsi="宋体" w:cs="宋体" w:hint="eastAsia"/>
                <w:sz w:val="24"/>
              </w:rPr>
              <w:t>.0</w:t>
            </w:r>
            <w:r>
              <w:rPr>
                <w:rFonts w:ascii="黑体" w:eastAsia="黑体" w:hAnsi="宋体" w:cs="宋体"/>
                <w:sz w:val="24"/>
              </w:rPr>
              <w:t>%</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13.6%</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4.4</w:t>
            </w:r>
          </w:p>
        </w:tc>
      </w:tr>
      <w:tr w:rsidR="002D273C">
        <w:trPr>
          <w:trHeight w:val="425"/>
        </w:trPr>
        <w:tc>
          <w:tcPr>
            <w:tcW w:w="1417" w:type="dxa"/>
            <w:tcBorders>
              <w:top w:val="nil"/>
              <w:left w:val="single" w:sz="12" w:space="0" w:color="auto"/>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菏泽</w:t>
            </w:r>
          </w:p>
        </w:tc>
        <w:tc>
          <w:tcPr>
            <w:tcW w:w="1985"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sz w:val="24"/>
              </w:rPr>
              <w:t>25.3%</w:t>
            </w:r>
          </w:p>
        </w:tc>
        <w:tc>
          <w:tcPr>
            <w:tcW w:w="198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18.8%</w:t>
            </w:r>
          </w:p>
        </w:tc>
        <w:tc>
          <w:tcPr>
            <w:tcW w:w="2694" w:type="dxa"/>
            <w:tcBorders>
              <w:top w:val="nil"/>
              <w:left w:val="nil"/>
              <w:bottom w:val="single" w:sz="12" w:space="0" w:color="auto"/>
              <w:right w:val="single" w:sz="12" w:space="0" w:color="auto"/>
            </w:tcBorders>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6.5</w:t>
            </w:r>
          </w:p>
        </w:tc>
      </w:tr>
    </w:tbl>
    <w:p w:rsidR="002D273C" w:rsidRDefault="002D273C">
      <w:pPr>
        <w:spacing w:line="320" w:lineRule="exact"/>
        <w:rPr>
          <w:rFonts w:ascii="楷体_GB2312" w:eastAsia="楷体_GB2312" w:hAnsi="楷体"/>
          <w:sz w:val="32"/>
          <w:szCs w:val="32"/>
        </w:rPr>
      </w:pPr>
    </w:p>
    <w:p w:rsidR="002D273C" w:rsidRDefault="00BA7E2A">
      <w:pPr>
        <w:spacing w:line="600" w:lineRule="exact"/>
        <w:ind w:firstLineChars="200" w:firstLine="640"/>
        <w:rPr>
          <w:rFonts w:ascii="楷体_GB2312" w:eastAsia="楷体_GB2312"/>
          <w:sz w:val="32"/>
          <w:szCs w:val="32"/>
        </w:rPr>
      </w:pPr>
      <w:r>
        <w:rPr>
          <w:rFonts w:ascii="楷体_GB2312" w:eastAsia="楷体_GB2312" w:hAnsi="楷体" w:hint="eastAsia"/>
          <w:sz w:val="32"/>
          <w:szCs w:val="32"/>
        </w:rPr>
        <w:t>（六）</w:t>
      </w:r>
      <w:r>
        <w:rPr>
          <w:rFonts w:ascii="楷体_GB2312" w:eastAsia="楷体_GB2312" w:hint="eastAsia"/>
          <w:sz w:val="32"/>
          <w:szCs w:val="32"/>
        </w:rPr>
        <w:t>行政机关负责人出庭应诉工作有所改进</w:t>
      </w:r>
    </w:p>
    <w:p w:rsidR="002D273C" w:rsidRDefault="00BA7E2A">
      <w:pPr>
        <w:spacing w:line="600" w:lineRule="exact"/>
        <w:ind w:firstLineChars="200" w:firstLine="640"/>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年，全省法院公开开庭审理行政案件</w:t>
      </w:r>
      <w:r>
        <w:rPr>
          <w:rFonts w:ascii="仿宋_GB2312" w:eastAsia="仿宋_GB2312" w:hint="eastAsia"/>
          <w:sz w:val="32"/>
          <w:szCs w:val="32"/>
        </w:rPr>
        <w:t>12628</w:t>
      </w:r>
      <w:r>
        <w:rPr>
          <w:rFonts w:ascii="仿宋_GB2312" w:eastAsia="仿宋_GB2312" w:hint="eastAsia"/>
          <w:sz w:val="32"/>
          <w:szCs w:val="32"/>
        </w:rPr>
        <w:t>件，行政机关负责人出庭应诉</w:t>
      </w:r>
      <w:r>
        <w:rPr>
          <w:rFonts w:ascii="仿宋_GB2312" w:eastAsia="仿宋_GB2312" w:hint="eastAsia"/>
          <w:sz w:val="32"/>
          <w:szCs w:val="32"/>
        </w:rPr>
        <w:t>7448</w:t>
      </w:r>
      <w:r>
        <w:rPr>
          <w:rFonts w:ascii="仿宋_GB2312" w:eastAsia="仿宋_GB2312" w:hint="eastAsia"/>
          <w:sz w:val="32"/>
          <w:szCs w:val="32"/>
        </w:rPr>
        <w:t>件，出庭应诉率为</w:t>
      </w:r>
      <w:r>
        <w:rPr>
          <w:rFonts w:ascii="仿宋_GB2312" w:eastAsia="仿宋_GB2312" w:hint="eastAsia"/>
          <w:sz w:val="32"/>
          <w:szCs w:val="32"/>
        </w:rPr>
        <w:t>59.5%</w:t>
      </w:r>
      <w:r>
        <w:rPr>
          <w:rFonts w:ascii="仿宋_GB2312" w:eastAsia="仿宋_GB2312" w:hint="eastAsia"/>
          <w:sz w:val="32"/>
          <w:szCs w:val="32"/>
        </w:rPr>
        <w:t>，同比上升</w:t>
      </w:r>
      <w:r>
        <w:rPr>
          <w:rFonts w:ascii="仿宋_GB2312" w:eastAsia="仿宋_GB2312" w:hint="eastAsia"/>
          <w:sz w:val="32"/>
          <w:szCs w:val="32"/>
        </w:rPr>
        <w:t>16.2</w:t>
      </w:r>
      <w:r>
        <w:rPr>
          <w:rFonts w:ascii="仿宋_GB2312" w:eastAsia="仿宋_GB2312" w:hint="eastAsia"/>
          <w:sz w:val="32"/>
          <w:szCs w:val="32"/>
        </w:rPr>
        <w:t>个百分点。其中，</w:t>
      </w:r>
      <w:r>
        <w:rPr>
          <w:rFonts w:ascii="仿宋_GB2312" w:eastAsia="仿宋_GB2312" w:hAnsi="黑体" w:hint="eastAsia"/>
          <w:sz w:val="32"/>
          <w:szCs w:val="32"/>
        </w:rPr>
        <w:t>县处级以上行政机关负责人副职出庭的</w:t>
      </w:r>
      <w:r>
        <w:rPr>
          <w:rFonts w:ascii="仿宋_GB2312" w:eastAsia="仿宋_GB2312" w:hAnsi="黑体" w:hint="eastAsia"/>
          <w:sz w:val="32"/>
          <w:szCs w:val="32"/>
        </w:rPr>
        <w:t>2547</w:t>
      </w:r>
      <w:r>
        <w:rPr>
          <w:rFonts w:ascii="仿宋_GB2312" w:eastAsia="仿宋_GB2312" w:hAnsi="黑体" w:hint="eastAsia"/>
          <w:sz w:val="32"/>
          <w:szCs w:val="32"/>
        </w:rPr>
        <w:t>人，正职出庭的</w:t>
      </w:r>
      <w:r>
        <w:rPr>
          <w:rFonts w:ascii="仿宋_GB2312" w:eastAsia="仿宋_GB2312" w:hAnsi="黑体" w:hint="eastAsia"/>
          <w:sz w:val="32"/>
          <w:szCs w:val="32"/>
        </w:rPr>
        <w:t>71</w:t>
      </w:r>
      <w:r>
        <w:rPr>
          <w:rFonts w:ascii="仿宋_GB2312" w:eastAsia="仿宋_GB2312" w:hAnsi="黑体" w:hint="eastAsia"/>
          <w:sz w:val="32"/>
          <w:szCs w:val="32"/>
        </w:rPr>
        <w:t>人。淄博市委常委、常务副市长杨洪涛</w:t>
      </w:r>
      <w:r>
        <w:rPr>
          <w:rFonts w:ascii="仿宋_GB2312" w:eastAsia="仿宋_GB2312" w:hAnsi="黑体" w:hint="eastAsia"/>
          <w:sz w:val="32"/>
          <w:szCs w:val="32"/>
        </w:rPr>
        <w:t>等</w:t>
      </w:r>
      <w:r>
        <w:rPr>
          <w:rFonts w:ascii="仿宋_GB2312" w:eastAsia="仿宋_GB2312" w:hAnsi="黑体" w:hint="eastAsia"/>
          <w:sz w:val="32"/>
          <w:szCs w:val="32"/>
        </w:rPr>
        <w:t>四名厅级领导出庭应诉。</w:t>
      </w:r>
    </w:p>
    <w:p w:rsidR="002D273C" w:rsidRDefault="00BA7E2A">
      <w:pPr>
        <w:spacing w:line="600" w:lineRule="exact"/>
        <w:ind w:firstLineChars="200" w:firstLine="640"/>
        <w:rPr>
          <w:rFonts w:ascii="仿宋_GB2312" w:eastAsia="仿宋_GB2312"/>
          <w:sz w:val="32"/>
          <w:szCs w:val="32"/>
        </w:rPr>
      </w:pPr>
      <w:r>
        <w:rPr>
          <w:rFonts w:ascii="仿宋_GB2312" w:eastAsia="仿宋_GB2312" w:hint="eastAsia"/>
          <w:sz w:val="32"/>
          <w:szCs w:val="32"/>
        </w:rPr>
        <w:t>从各市情况看，出庭应诉率超过</w:t>
      </w:r>
      <w:r>
        <w:rPr>
          <w:rFonts w:ascii="仿宋_GB2312" w:eastAsia="仿宋_GB2312" w:hint="eastAsia"/>
          <w:sz w:val="32"/>
          <w:szCs w:val="32"/>
        </w:rPr>
        <w:t>60%</w:t>
      </w:r>
      <w:r>
        <w:rPr>
          <w:rFonts w:ascii="仿宋_GB2312" w:eastAsia="仿宋_GB2312" w:hint="eastAsia"/>
          <w:sz w:val="32"/>
          <w:szCs w:val="32"/>
        </w:rPr>
        <w:t>的有德州、滨州、威海、淄博、东营、潍坊、济宁、菏泽、临沂、日照和聊城等</w:t>
      </w:r>
      <w:r>
        <w:rPr>
          <w:rFonts w:ascii="仿宋_GB2312" w:eastAsia="仿宋_GB2312" w:hint="eastAsia"/>
          <w:sz w:val="32"/>
          <w:szCs w:val="32"/>
        </w:rPr>
        <w:t>11</w:t>
      </w:r>
      <w:r>
        <w:rPr>
          <w:rFonts w:ascii="仿宋_GB2312" w:eastAsia="仿宋_GB2312" w:hint="eastAsia"/>
          <w:sz w:val="32"/>
          <w:szCs w:val="32"/>
        </w:rPr>
        <w:t>个市，其中德州、滨州、威海、淄博超过</w:t>
      </w:r>
      <w:r>
        <w:rPr>
          <w:rFonts w:ascii="仿宋_GB2312" w:eastAsia="仿宋_GB2312" w:hint="eastAsia"/>
          <w:sz w:val="32"/>
          <w:szCs w:val="32"/>
        </w:rPr>
        <w:t>90%</w:t>
      </w:r>
      <w:r>
        <w:rPr>
          <w:rFonts w:ascii="仿宋_GB2312" w:eastAsia="仿宋_GB2312" w:hint="eastAsia"/>
          <w:sz w:val="32"/>
          <w:szCs w:val="32"/>
        </w:rPr>
        <w:t>，德州达到了</w:t>
      </w:r>
      <w:r>
        <w:rPr>
          <w:rFonts w:ascii="仿宋_GB2312" w:eastAsia="仿宋_GB2312" w:hint="eastAsia"/>
          <w:sz w:val="32"/>
          <w:szCs w:val="32"/>
        </w:rPr>
        <w:t>97.3%</w:t>
      </w:r>
      <w:r>
        <w:rPr>
          <w:rFonts w:ascii="仿宋_GB2312" w:eastAsia="仿宋_GB2312" w:hint="eastAsia"/>
          <w:sz w:val="32"/>
          <w:szCs w:val="32"/>
        </w:rPr>
        <w:t>；出庭应诉率不足</w:t>
      </w:r>
      <w:r>
        <w:rPr>
          <w:rFonts w:ascii="仿宋_GB2312" w:eastAsia="仿宋_GB2312" w:hint="eastAsia"/>
          <w:sz w:val="32"/>
          <w:szCs w:val="32"/>
        </w:rPr>
        <w:t>50%</w:t>
      </w:r>
      <w:r>
        <w:rPr>
          <w:rFonts w:ascii="仿宋_GB2312" w:eastAsia="仿宋_GB2312" w:hint="eastAsia"/>
          <w:sz w:val="32"/>
          <w:szCs w:val="32"/>
        </w:rPr>
        <w:t>的有青岛、济南、泰安、枣庄、烟台。</w:t>
      </w:r>
    </w:p>
    <w:p w:rsidR="002D273C" w:rsidRDefault="002D273C">
      <w:pPr>
        <w:spacing w:line="600" w:lineRule="exact"/>
        <w:ind w:firstLineChars="200" w:firstLine="640"/>
        <w:rPr>
          <w:rFonts w:ascii="仿宋_GB2312" w:eastAsia="仿宋_GB2312"/>
          <w:sz w:val="32"/>
          <w:szCs w:val="32"/>
        </w:rPr>
      </w:pPr>
    </w:p>
    <w:p w:rsidR="002D273C" w:rsidRDefault="002D273C">
      <w:pPr>
        <w:spacing w:line="600" w:lineRule="exact"/>
        <w:ind w:firstLineChars="200" w:firstLine="640"/>
        <w:rPr>
          <w:rFonts w:ascii="仿宋_GB2312" w:eastAsia="仿宋_GB2312"/>
          <w:sz w:val="32"/>
          <w:szCs w:val="32"/>
        </w:rPr>
      </w:pPr>
    </w:p>
    <w:p w:rsidR="002D273C" w:rsidRDefault="00BA7E2A">
      <w:pPr>
        <w:spacing w:line="700" w:lineRule="exact"/>
        <w:jc w:val="center"/>
        <w:rPr>
          <w:rFonts w:ascii="黑体" w:eastAsia="黑体" w:hAnsi="黑体" w:cs="仿宋_GB2312"/>
          <w:sz w:val="30"/>
          <w:szCs w:val="30"/>
        </w:rPr>
      </w:pPr>
      <w:r>
        <w:rPr>
          <w:rFonts w:ascii="黑体" w:eastAsia="黑体" w:hAnsi="黑体" w:cs="仿宋_GB2312" w:hint="eastAsia"/>
          <w:sz w:val="30"/>
          <w:szCs w:val="30"/>
        </w:rPr>
        <w:lastRenderedPageBreak/>
        <w:t>表二</w:t>
      </w:r>
      <w:r>
        <w:rPr>
          <w:rFonts w:ascii="黑体" w:eastAsia="黑体" w:hAnsi="黑体" w:cs="仿宋_GB2312" w:hint="eastAsia"/>
          <w:sz w:val="30"/>
          <w:szCs w:val="30"/>
        </w:rPr>
        <w:t xml:space="preserve">  </w:t>
      </w:r>
      <w:r>
        <w:rPr>
          <w:rFonts w:ascii="黑体" w:eastAsia="黑体" w:hAnsi="黑体" w:cs="仿宋_GB2312" w:hint="eastAsia"/>
          <w:sz w:val="30"/>
          <w:szCs w:val="30"/>
        </w:rPr>
        <w:t>各市行</w:t>
      </w:r>
      <w:r>
        <w:rPr>
          <w:rFonts w:ascii="黑体" w:eastAsia="黑体" w:hAnsi="黑体" w:cs="仿宋_GB2312" w:hint="eastAsia"/>
          <w:sz w:val="30"/>
          <w:szCs w:val="30"/>
        </w:rPr>
        <w:t>政机关负责人出庭应诉情况统计表</w:t>
      </w:r>
    </w:p>
    <w:p w:rsidR="002D273C" w:rsidRDefault="002D273C">
      <w:pPr>
        <w:spacing w:line="320" w:lineRule="exact"/>
        <w:jc w:val="center"/>
        <w:rPr>
          <w:rFonts w:ascii="黑体" w:eastAsia="黑体" w:hAnsi="黑体" w:cs="仿宋_GB2312"/>
          <w:sz w:val="30"/>
          <w:szCs w:val="30"/>
        </w:rPr>
      </w:pPr>
    </w:p>
    <w:tbl>
      <w:tblPr>
        <w:tblW w:w="893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994"/>
        <w:gridCol w:w="1420"/>
        <w:gridCol w:w="1134"/>
        <w:gridCol w:w="1272"/>
        <w:gridCol w:w="1811"/>
        <w:gridCol w:w="1166"/>
        <w:gridCol w:w="1134"/>
      </w:tblGrid>
      <w:tr w:rsidR="002D273C">
        <w:trPr>
          <w:trHeight w:hRule="exact" w:val="986"/>
          <w:tblHeader/>
        </w:trPr>
        <w:tc>
          <w:tcPr>
            <w:tcW w:w="994" w:type="dxa"/>
            <w:shd w:val="clear" w:color="auto" w:fill="auto"/>
            <w:vAlign w:val="center"/>
          </w:tcPr>
          <w:p w:rsidR="002D273C" w:rsidRDefault="002D273C">
            <w:pPr>
              <w:widowControl/>
              <w:jc w:val="center"/>
              <w:rPr>
                <w:rFonts w:ascii="黑体" w:eastAsia="黑体" w:hAnsi="宋体" w:cs="宋体"/>
                <w:sz w:val="24"/>
              </w:rPr>
            </w:pPr>
          </w:p>
        </w:tc>
        <w:tc>
          <w:tcPr>
            <w:tcW w:w="1420" w:type="dxa"/>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应参加庭审的案件总数</w:t>
            </w:r>
          </w:p>
        </w:tc>
        <w:tc>
          <w:tcPr>
            <w:tcW w:w="1134" w:type="dxa"/>
            <w:shd w:val="clear" w:color="auto" w:fill="auto"/>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负责人出庭案件数</w:t>
            </w:r>
          </w:p>
        </w:tc>
        <w:tc>
          <w:tcPr>
            <w:tcW w:w="1272" w:type="dxa"/>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负责人出庭应诉率</w:t>
            </w:r>
          </w:p>
        </w:tc>
        <w:tc>
          <w:tcPr>
            <w:tcW w:w="1811" w:type="dxa"/>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县处级以上负责人</w:t>
            </w:r>
            <w:r>
              <w:rPr>
                <w:rFonts w:ascii="黑体" w:eastAsia="黑体" w:hAnsi="宋体" w:cs="宋体" w:hint="eastAsia"/>
                <w:sz w:val="24"/>
              </w:rPr>
              <w:t>(</w:t>
            </w:r>
            <w:r>
              <w:rPr>
                <w:rFonts w:ascii="黑体" w:eastAsia="黑体" w:hAnsi="宋体" w:cs="宋体" w:hint="eastAsia"/>
                <w:sz w:val="24"/>
              </w:rPr>
              <w:t>正职</w:t>
            </w:r>
            <w:r>
              <w:rPr>
                <w:rFonts w:ascii="黑体" w:eastAsia="黑体" w:hAnsi="宋体" w:cs="宋体" w:hint="eastAsia"/>
                <w:sz w:val="24"/>
              </w:rPr>
              <w:t>)</w:t>
            </w:r>
            <w:r>
              <w:rPr>
                <w:rFonts w:ascii="黑体" w:eastAsia="黑体" w:hAnsi="宋体" w:cs="宋体" w:hint="eastAsia"/>
                <w:sz w:val="24"/>
              </w:rPr>
              <w:t>出庭案件数</w:t>
            </w:r>
          </w:p>
        </w:tc>
        <w:tc>
          <w:tcPr>
            <w:tcW w:w="1166" w:type="dxa"/>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市、县政府负责人出庭案件数</w:t>
            </w:r>
          </w:p>
        </w:tc>
        <w:tc>
          <w:tcPr>
            <w:tcW w:w="1134" w:type="dxa"/>
            <w:vAlign w:val="center"/>
          </w:tcPr>
          <w:p w:rsidR="002D273C" w:rsidRDefault="00BA7E2A">
            <w:pPr>
              <w:widowControl/>
              <w:jc w:val="center"/>
              <w:rPr>
                <w:rFonts w:ascii="黑体" w:eastAsia="黑体" w:hAnsi="宋体" w:cs="宋体"/>
                <w:sz w:val="24"/>
              </w:rPr>
            </w:pPr>
            <w:r>
              <w:rPr>
                <w:rFonts w:ascii="黑体" w:eastAsia="黑体" w:hAnsi="宋体" w:cs="宋体" w:hint="eastAsia"/>
                <w:sz w:val="24"/>
              </w:rPr>
              <w:t>职能部门负责人出庭案件数</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济南</w:t>
            </w:r>
          </w:p>
        </w:tc>
        <w:tc>
          <w:tcPr>
            <w:tcW w:w="1420" w:type="dxa"/>
            <w:shd w:val="clear" w:color="auto" w:fill="auto"/>
            <w:noWrap/>
            <w:vAlign w:val="center"/>
          </w:tcPr>
          <w:p w:rsidR="002D273C" w:rsidRDefault="00BA7E2A">
            <w:pPr>
              <w:widowControl/>
              <w:jc w:val="center"/>
              <w:rPr>
                <w:sz w:val="24"/>
              </w:rPr>
            </w:pPr>
            <w:r>
              <w:rPr>
                <w:rFonts w:hint="eastAsia"/>
                <w:sz w:val="24"/>
              </w:rPr>
              <w:t>2685</w:t>
            </w:r>
          </w:p>
        </w:tc>
        <w:tc>
          <w:tcPr>
            <w:tcW w:w="1134" w:type="dxa"/>
            <w:shd w:val="clear" w:color="auto" w:fill="auto"/>
            <w:noWrap/>
            <w:vAlign w:val="center"/>
          </w:tcPr>
          <w:p w:rsidR="002D273C" w:rsidRDefault="00BA7E2A">
            <w:pPr>
              <w:widowControl/>
              <w:jc w:val="center"/>
              <w:rPr>
                <w:sz w:val="24"/>
              </w:rPr>
            </w:pPr>
            <w:r>
              <w:rPr>
                <w:rFonts w:hint="eastAsia"/>
                <w:sz w:val="24"/>
              </w:rPr>
              <w:t>1113</w:t>
            </w:r>
          </w:p>
        </w:tc>
        <w:tc>
          <w:tcPr>
            <w:tcW w:w="1272" w:type="dxa"/>
            <w:vAlign w:val="center"/>
          </w:tcPr>
          <w:p w:rsidR="002D273C" w:rsidRDefault="00BA7E2A">
            <w:pPr>
              <w:widowControl/>
              <w:jc w:val="center"/>
              <w:rPr>
                <w:sz w:val="24"/>
              </w:rPr>
            </w:pPr>
            <w:r>
              <w:rPr>
                <w:rFonts w:hint="eastAsia"/>
                <w:sz w:val="24"/>
              </w:rPr>
              <w:t>41.5%</w:t>
            </w:r>
          </w:p>
        </w:tc>
        <w:tc>
          <w:tcPr>
            <w:tcW w:w="1811" w:type="dxa"/>
            <w:vAlign w:val="center"/>
          </w:tcPr>
          <w:p w:rsidR="002D273C" w:rsidRDefault="00BA7E2A">
            <w:pPr>
              <w:widowControl/>
              <w:jc w:val="center"/>
              <w:rPr>
                <w:sz w:val="24"/>
              </w:rPr>
            </w:pPr>
            <w:r>
              <w:rPr>
                <w:rFonts w:hint="eastAsia"/>
                <w:sz w:val="24"/>
              </w:rPr>
              <w:t>857(58</w:t>
            </w:r>
            <w:r>
              <w:rPr>
                <w:rFonts w:hint="eastAsia"/>
                <w:sz w:val="24"/>
              </w:rPr>
              <w:t>正职</w:t>
            </w:r>
            <w:r>
              <w:rPr>
                <w:rFonts w:hint="eastAsia"/>
                <w:sz w:val="24"/>
              </w:rPr>
              <w:t>)</w:t>
            </w:r>
          </w:p>
        </w:tc>
        <w:tc>
          <w:tcPr>
            <w:tcW w:w="1166" w:type="dxa"/>
            <w:vAlign w:val="center"/>
          </w:tcPr>
          <w:p w:rsidR="002D273C" w:rsidRDefault="00BA7E2A">
            <w:pPr>
              <w:widowControl/>
              <w:jc w:val="center"/>
              <w:rPr>
                <w:sz w:val="24"/>
              </w:rPr>
            </w:pPr>
            <w:r>
              <w:rPr>
                <w:rFonts w:hint="eastAsia"/>
                <w:sz w:val="24"/>
              </w:rPr>
              <w:t>91</w:t>
            </w:r>
          </w:p>
        </w:tc>
        <w:tc>
          <w:tcPr>
            <w:tcW w:w="1134" w:type="dxa"/>
            <w:vAlign w:val="center"/>
          </w:tcPr>
          <w:p w:rsidR="002D273C" w:rsidRDefault="00BA7E2A">
            <w:pPr>
              <w:widowControl/>
              <w:jc w:val="center"/>
              <w:rPr>
                <w:sz w:val="24"/>
              </w:rPr>
            </w:pPr>
            <w:r>
              <w:rPr>
                <w:rFonts w:hint="eastAsia"/>
                <w:sz w:val="24"/>
              </w:rPr>
              <w:t>810</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青岛</w:t>
            </w:r>
          </w:p>
        </w:tc>
        <w:tc>
          <w:tcPr>
            <w:tcW w:w="1420" w:type="dxa"/>
            <w:shd w:val="clear" w:color="auto" w:fill="auto"/>
            <w:noWrap/>
            <w:vAlign w:val="center"/>
          </w:tcPr>
          <w:p w:rsidR="002D273C" w:rsidRDefault="00BA7E2A">
            <w:pPr>
              <w:widowControl/>
              <w:jc w:val="center"/>
              <w:rPr>
                <w:sz w:val="24"/>
              </w:rPr>
            </w:pPr>
            <w:r>
              <w:rPr>
                <w:rFonts w:hint="eastAsia"/>
                <w:sz w:val="24"/>
              </w:rPr>
              <w:t>2036</w:t>
            </w:r>
          </w:p>
        </w:tc>
        <w:tc>
          <w:tcPr>
            <w:tcW w:w="1134" w:type="dxa"/>
            <w:shd w:val="clear" w:color="auto" w:fill="auto"/>
            <w:noWrap/>
            <w:vAlign w:val="center"/>
          </w:tcPr>
          <w:p w:rsidR="002D273C" w:rsidRDefault="00BA7E2A">
            <w:pPr>
              <w:widowControl/>
              <w:jc w:val="center"/>
              <w:rPr>
                <w:sz w:val="24"/>
              </w:rPr>
            </w:pPr>
            <w:r>
              <w:rPr>
                <w:rFonts w:hint="eastAsia"/>
                <w:sz w:val="24"/>
              </w:rPr>
              <w:t>652</w:t>
            </w:r>
          </w:p>
        </w:tc>
        <w:tc>
          <w:tcPr>
            <w:tcW w:w="1272" w:type="dxa"/>
            <w:vAlign w:val="center"/>
          </w:tcPr>
          <w:p w:rsidR="002D273C" w:rsidRDefault="00BA7E2A">
            <w:pPr>
              <w:widowControl/>
              <w:jc w:val="center"/>
              <w:rPr>
                <w:sz w:val="24"/>
              </w:rPr>
            </w:pPr>
            <w:r>
              <w:rPr>
                <w:rFonts w:hint="eastAsia"/>
                <w:sz w:val="24"/>
              </w:rPr>
              <w:t>32.0%</w:t>
            </w:r>
          </w:p>
        </w:tc>
        <w:tc>
          <w:tcPr>
            <w:tcW w:w="1811" w:type="dxa"/>
            <w:vAlign w:val="center"/>
          </w:tcPr>
          <w:p w:rsidR="002D273C" w:rsidRDefault="00BA7E2A">
            <w:pPr>
              <w:widowControl/>
              <w:jc w:val="center"/>
              <w:rPr>
                <w:sz w:val="24"/>
              </w:rPr>
            </w:pPr>
            <w:r>
              <w:rPr>
                <w:rFonts w:hint="eastAsia"/>
                <w:sz w:val="24"/>
              </w:rPr>
              <w:t>303</w:t>
            </w:r>
          </w:p>
        </w:tc>
        <w:tc>
          <w:tcPr>
            <w:tcW w:w="1166" w:type="dxa"/>
            <w:vAlign w:val="center"/>
          </w:tcPr>
          <w:p w:rsidR="002D273C" w:rsidRDefault="00BA7E2A">
            <w:pPr>
              <w:widowControl/>
              <w:jc w:val="center"/>
              <w:rPr>
                <w:sz w:val="24"/>
              </w:rPr>
            </w:pPr>
            <w:r>
              <w:rPr>
                <w:rFonts w:hint="eastAsia"/>
                <w:sz w:val="24"/>
              </w:rPr>
              <w:t>112</w:t>
            </w:r>
          </w:p>
        </w:tc>
        <w:tc>
          <w:tcPr>
            <w:tcW w:w="1134" w:type="dxa"/>
            <w:vAlign w:val="center"/>
          </w:tcPr>
          <w:p w:rsidR="002D273C" w:rsidRDefault="00BA7E2A">
            <w:pPr>
              <w:widowControl/>
              <w:jc w:val="center"/>
              <w:rPr>
                <w:sz w:val="24"/>
              </w:rPr>
            </w:pPr>
            <w:r>
              <w:rPr>
                <w:rFonts w:hint="eastAsia"/>
                <w:sz w:val="24"/>
              </w:rPr>
              <w:t>384</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淄博</w:t>
            </w:r>
          </w:p>
        </w:tc>
        <w:tc>
          <w:tcPr>
            <w:tcW w:w="1420" w:type="dxa"/>
            <w:shd w:val="clear" w:color="auto" w:fill="auto"/>
            <w:noWrap/>
            <w:vAlign w:val="center"/>
          </w:tcPr>
          <w:p w:rsidR="002D273C" w:rsidRDefault="00BA7E2A">
            <w:pPr>
              <w:widowControl/>
              <w:jc w:val="center"/>
              <w:rPr>
                <w:sz w:val="24"/>
              </w:rPr>
            </w:pPr>
            <w:r>
              <w:rPr>
                <w:rFonts w:hint="eastAsia"/>
                <w:sz w:val="24"/>
              </w:rPr>
              <w:t>588</w:t>
            </w:r>
          </w:p>
        </w:tc>
        <w:tc>
          <w:tcPr>
            <w:tcW w:w="1134" w:type="dxa"/>
            <w:shd w:val="clear" w:color="auto" w:fill="auto"/>
            <w:noWrap/>
            <w:vAlign w:val="center"/>
          </w:tcPr>
          <w:p w:rsidR="002D273C" w:rsidRDefault="00BA7E2A">
            <w:pPr>
              <w:widowControl/>
              <w:jc w:val="center"/>
              <w:rPr>
                <w:sz w:val="24"/>
              </w:rPr>
            </w:pPr>
            <w:r>
              <w:rPr>
                <w:rFonts w:hint="eastAsia"/>
                <w:sz w:val="24"/>
              </w:rPr>
              <w:t>507</w:t>
            </w:r>
          </w:p>
        </w:tc>
        <w:tc>
          <w:tcPr>
            <w:tcW w:w="1272" w:type="dxa"/>
            <w:vAlign w:val="center"/>
          </w:tcPr>
          <w:p w:rsidR="002D273C" w:rsidRDefault="00BA7E2A">
            <w:pPr>
              <w:widowControl/>
              <w:jc w:val="center"/>
              <w:rPr>
                <w:sz w:val="24"/>
              </w:rPr>
            </w:pPr>
            <w:r>
              <w:rPr>
                <w:rFonts w:hint="eastAsia"/>
                <w:sz w:val="24"/>
              </w:rPr>
              <w:t>90.9%</w:t>
            </w:r>
          </w:p>
        </w:tc>
        <w:tc>
          <w:tcPr>
            <w:tcW w:w="1811" w:type="dxa"/>
            <w:vAlign w:val="center"/>
          </w:tcPr>
          <w:p w:rsidR="002D273C" w:rsidRDefault="00BA7E2A">
            <w:pPr>
              <w:widowControl/>
              <w:jc w:val="center"/>
              <w:rPr>
                <w:sz w:val="24"/>
              </w:rPr>
            </w:pPr>
            <w:r>
              <w:rPr>
                <w:rFonts w:hint="eastAsia"/>
                <w:sz w:val="24"/>
              </w:rPr>
              <w:t>96</w:t>
            </w:r>
            <w:r>
              <w:rPr>
                <w:rFonts w:hint="eastAsia"/>
                <w:sz w:val="24"/>
              </w:rPr>
              <w:t>（</w:t>
            </w:r>
            <w:r>
              <w:rPr>
                <w:rFonts w:hint="eastAsia"/>
                <w:sz w:val="24"/>
              </w:rPr>
              <w:t>1</w:t>
            </w:r>
            <w:r>
              <w:rPr>
                <w:rFonts w:hint="eastAsia"/>
                <w:sz w:val="24"/>
              </w:rPr>
              <w:t>正职）</w:t>
            </w:r>
          </w:p>
        </w:tc>
        <w:tc>
          <w:tcPr>
            <w:tcW w:w="1166" w:type="dxa"/>
            <w:vAlign w:val="center"/>
          </w:tcPr>
          <w:p w:rsidR="002D273C" w:rsidRDefault="00BA7E2A">
            <w:pPr>
              <w:widowControl/>
              <w:jc w:val="center"/>
              <w:rPr>
                <w:sz w:val="24"/>
              </w:rPr>
            </w:pPr>
            <w:r>
              <w:rPr>
                <w:rFonts w:hint="eastAsia"/>
                <w:sz w:val="24"/>
              </w:rPr>
              <w:t>89</w:t>
            </w:r>
          </w:p>
        </w:tc>
        <w:tc>
          <w:tcPr>
            <w:tcW w:w="1134" w:type="dxa"/>
            <w:vAlign w:val="center"/>
          </w:tcPr>
          <w:p w:rsidR="002D273C" w:rsidRDefault="00BA7E2A">
            <w:pPr>
              <w:widowControl/>
              <w:jc w:val="center"/>
              <w:rPr>
                <w:sz w:val="24"/>
              </w:rPr>
            </w:pPr>
            <w:r>
              <w:rPr>
                <w:rFonts w:hint="eastAsia"/>
                <w:sz w:val="24"/>
              </w:rPr>
              <w:t>418</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枣庄</w:t>
            </w:r>
          </w:p>
        </w:tc>
        <w:tc>
          <w:tcPr>
            <w:tcW w:w="1420" w:type="dxa"/>
            <w:shd w:val="clear" w:color="auto" w:fill="auto"/>
            <w:noWrap/>
            <w:vAlign w:val="center"/>
          </w:tcPr>
          <w:p w:rsidR="002D273C" w:rsidRDefault="00BA7E2A">
            <w:pPr>
              <w:widowControl/>
              <w:jc w:val="center"/>
              <w:rPr>
                <w:sz w:val="24"/>
              </w:rPr>
            </w:pPr>
            <w:r>
              <w:rPr>
                <w:rFonts w:hint="eastAsia"/>
                <w:sz w:val="24"/>
              </w:rPr>
              <w:t>399</w:t>
            </w:r>
          </w:p>
        </w:tc>
        <w:tc>
          <w:tcPr>
            <w:tcW w:w="1134" w:type="dxa"/>
            <w:shd w:val="clear" w:color="auto" w:fill="auto"/>
            <w:noWrap/>
            <w:vAlign w:val="center"/>
          </w:tcPr>
          <w:p w:rsidR="002D273C" w:rsidRDefault="00BA7E2A">
            <w:pPr>
              <w:widowControl/>
              <w:jc w:val="center"/>
              <w:rPr>
                <w:sz w:val="24"/>
              </w:rPr>
            </w:pPr>
            <w:r>
              <w:rPr>
                <w:rFonts w:hint="eastAsia"/>
                <w:sz w:val="24"/>
              </w:rPr>
              <w:t>180</w:t>
            </w:r>
          </w:p>
        </w:tc>
        <w:tc>
          <w:tcPr>
            <w:tcW w:w="1272" w:type="dxa"/>
            <w:vAlign w:val="center"/>
          </w:tcPr>
          <w:p w:rsidR="002D273C" w:rsidRDefault="00BA7E2A">
            <w:pPr>
              <w:widowControl/>
              <w:jc w:val="center"/>
              <w:rPr>
                <w:sz w:val="24"/>
              </w:rPr>
            </w:pPr>
            <w:r>
              <w:rPr>
                <w:rFonts w:hint="eastAsia"/>
                <w:sz w:val="24"/>
              </w:rPr>
              <w:t>45.0%</w:t>
            </w:r>
          </w:p>
        </w:tc>
        <w:tc>
          <w:tcPr>
            <w:tcW w:w="1811" w:type="dxa"/>
            <w:vAlign w:val="center"/>
          </w:tcPr>
          <w:p w:rsidR="002D273C" w:rsidRDefault="00BA7E2A">
            <w:pPr>
              <w:widowControl/>
              <w:jc w:val="center"/>
              <w:rPr>
                <w:sz w:val="24"/>
              </w:rPr>
            </w:pPr>
            <w:r>
              <w:rPr>
                <w:rFonts w:hint="eastAsia"/>
                <w:sz w:val="24"/>
              </w:rPr>
              <w:t>10</w:t>
            </w:r>
          </w:p>
        </w:tc>
        <w:tc>
          <w:tcPr>
            <w:tcW w:w="1166" w:type="dxa"/>
            <w:vAlign w:val="center"/>
          </w:tcPr>
          <w:p w:rsidR="002D273C" w:rsidRDefault="00BA7E2A">
            <w:pPr>
              <w:widowControl/>
              <w:jc w:val="center"/>
              <w:rPr>
                <w:sz w:val="24"/>
              </w:rPr>
            </w:pPr>
            <w:r>
              <w:rPr>
                <w:rFonts w:hint="eastAsia"/>
                <w:sz w:val="24"/>
              </w:rPr>
              <w:t>6</w:t>
            </w:r>
          </w:p>
        </w:tc>
        <w:tc>
          <w:tcPr>
            <w:tcW w:w="1134" w:type="dxa"/>
            <w:vAlign w:val="center"/>
          </w:tcPr>
          <w:p w:rsidR="002D273C" w:rsidRDefault="00BA7E2A">
            <w:pPr>
              <w:widowControl/>
              <w:jc w:val="center"/>
              <w:rPr>
                <w:sz w:val="24"/>
              </w:rPr>
            </w:pPr>
            <w:r>
              <w:rPr>
                <w:rFonts w:hint="eastAsia"/>
                <w:sz w:val="24"/>
              </w:rPr>
              <w:t>174</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东营</w:t>
            </w:r>
          </w:p>
        </w:tc>
        <w:tc>
          <w:tcPr>
            <w:tcW w:w="1420" w:type="dxa"/>
            <w:shd w:val="clear" w:color="auto" w:fill="auto"/>
            <w:noWrap/>
            <w:vAlign w:val="center"/>
          </w:tcPr>
          <w:p w:rsidR="002D273C" w:rsidRDefault="00BA7E2A">
            <w:pPr>
              <w:widowControl/>
              <w:jc w:val="center"/>
              <w:rPr>
                <w:sz w:val="24"/>
              </w:rPr>
            </w:pPr>
            <w:r>
              <w:rPr>
                <w:rFonts w:hint="eastAsia"/>
                <w:sz w:val="24"/>
              </w:rPr>
              <w:t>189</w:t>
            </w:r>
          </w:p>
        </w:tc>
        <w:tc>
          <w:tcPr>
            <w:tcW w:w="1134" w:type="dxa"/>
            <w:shd w:val="clear" w:color="auto" w:fill="auto"/>
            <w:noWrap/>
            <w:vAlign w:val="center"/>
          </w:tcPr>
          <w:p w:rsidR="002D273C" w:rsidRDefault="00BA7E2A">
            <w:pPr>
              <w:widowControl/>
              <w:jc w:val="center"/>
              <w:rPr>
                <w:sz w:val="24"/>
              </w:rPr>
            </w:pPr>
            <w:r>
              <w:rPr>
                <w:rFonts w:hint="eastAsia"/>
                <w:sz w:val="24"/>
              </w:rPr>
              <w:t>160</w:t>
            </w:r>
          </w:p>
        </w:tc>
        <w:tc>
          <w:tcPr>
            <w:tcW w:w="1272" w:type="dxa"/>
            <w:vAlign w:val="center"/>
          </w:tcPr>
          <w:p w:rsidR="002D273C" w:rsidRDefault="00BA7E2A">
            <w:pPr>
              <w:widowControl/>
              <w:jc w:val="center"/>
              <w:rPr>
                <w:sz w:val="24"/>
              </w:rPr>
            </w:pPr>
            <w:r>
              <w:rPr>
                <w:rFonts w:hint="eastAsia"/>
                <w:sz w:val="24"/>
              </w:rPr>
              <w:t>84.7%</w:t>
            </w:r>
          </w:p>
        </w:tc>
        <w:tc>
          <w:tcPr>
            <w:tcW w:w="1811" w:type="dxa"/>
            <w:vAlign w:val="center"/>
          </w:tcPr>
          <w:p w:rsidR="002D273C" w:rsidRDefault="00BA7E2A">
            <w:pPr>
              <w:widowControl/>
              <w:jc w:val="center"/>
              <w:rPr>
                <w:sz w:val="24"/>
              </w:rPr>
            </w:pPr>
            <w:r>
              <w:rPr>
                <w:rFonts w:hint="eastAsia"/>
                <w:sz w:val="24"/>
              </w:rPr>
              <w:t>39</w:t>
            </w:r>
            <w:r>
              <w:rPr>
                <w:rFonts w:hint="eastAsia"/>
                <w:sz w:val="24"/>
              </w:rPr>
              <w:t>（</w:t>
            </w:r>
            <w:r>
              <w:rPr>
                <w:rFonts w:hint="eastAsia"/>
                <w:sz w:val="24"/>
              </w:rPr>
              <w:t>5</w:t>
            </w:r>
            <w:r>
              <w:rPr>
                <w:rFonts w:hint="eastAsia"/>
                <w:sz w:val="24"/>
              </w:rPr>
              <w:t>正职）</w:t>
            </w:r>
          </w:p>
        </w:tc>
        <w:tc>
          <w:tcPr>
            <w:tcW w:w="1166" w:type="dxa"/>
            <w:vAlign w:val="center"/>
          </w:tcPr>
          <w:p w:rsidR="002D273C" w:rsidRDefault="00BA7E2A">
            <w:pPr>
              <w:widowControl/>
              <w:jc w:val="center"/>
              <w:rPr>
                <w:sz w:val="24"/>
              </w:rPr>
            </w:pPr>
            <w:r>
              <w:rPr>
                <w:rFonts w:hint="eastAsia"/>
                <w:sz w:val="24"/>
              </w:rPr>
              <w:t>1</w:t>
            </w:r>
          </w:p>
        </w:tc>
        <w:tc>
          <w:tcPr>
            <w:tcW w:w="1134" w:type="dxa"/>
            <w:vAlign w:val="center"/>
          </w:tcPr>
          <w:p w:rsidR="002D273C" w:rsidRDefault="00BA7E2A">
            <w:pPr>
              <w:widowControl/>
              <w:jc w:val="center"/>
              <w:rPr>
                <w:sz w:val="24"/>
              </w:rPr>
            </w:pPr>
            <w:r>
              <w:rPr>
                <w:rFonts w:hint="eastAsia"/>
                <w:sz w:val="24"/>
              </w:rPr>
              <w:t>159</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烟台</w:t>
            </w:r>
          </w:p>
        </w:tc>
        <w:tc>
          <w:tcPr>
            <w:tcW w:w="1420" w:type="dxa"/>
            <w:shd w:val="clear" w:color="auto" w:fill="auto"/>
            <w:noWrap/>
            <w:vAlign w:val="center"/>
          </w:tcPr>
          <w:p w:rsidR="002D273C" w:rsidRDefault="00BA7E2A">
            <w:pPr>
              <w:widowControl/>
              <w:jc w:val="center"/>
              <w:rPr>
                <w:sz w:val="24"/>
              </w:rPr>
            </w:pPr>
            <w:r>
              <w:rPr>
                <w:rFonts w:hint="eastAsia"/>
                <w:sz w:val="24"/>
              </w:rPr>
              <w:t>676</w:t>
            </w:r>
          </w:p>
        </w:tc>
        <w:tc>
          <w:tcPr>
            <w:tcW w:w="1134" w:type="dxa"/>
            <w:shd w:val="clear" w:color="auto" w:fill="auto"/>
            <w:noWrap/>
            <w:vAlign w:val="center"/>
          </w:tcPr>
          <w:p w:rsidR="002D273C" w:rsidRDefault="00BA7E2A">
            <w:pPr>
              <w:widowControl/>
              <w:jc w:val="center"/>
              <w:rPr>
                <w:sz w:val="24"/>
              </w:rPr>
            </w:pPr>
            <w:r>
              <w:rPr>
                <w:rFonts w:hint="eastAsia"/>
                <w:sz w:val="24"/>
              </w:rPr>
              <w:t>367</w:t>
            </w:r>
          </w:p>
        </w:tc>
        <w:tc>
          <w:tcPr>
            <w:tcW w:w="1272" w:type="dxa"/>
            <w:vAlign w:val="center"/>
          </w:tcPr>
          <w:p w:rsidR="002D273C" w:rsidRDefault="00BA7E2A">
            <w:pPr>
              <w:widowControl/>
              <w:jc w:val="center"/>
              <w:rPr>
                <w:sz w:val="24"/>
              </w:rPr>
            </w:pPr>
            <w:r>
              <w:rPr>
                <w:rFonts w:hint="eastAsia"/>
                <w:sz w:val="24"/>
              </w:rPr>
              <w:t>45.4%</w:t>
            </w:r>
          </w:p>
        </w:tc>
        <w:tc>
          <w:tcPr>
            <w:tcW w:w="1811" w:type="dxa"/>
            <w:vAlign w:val="center"/>
          </w:tcPr>
          <w:p w:rsidR="002D273C" w:rsidRDefault="00BA7E2A">
            <w:pPr>
              <w:widowControl/>
              <w:jc w:val="center"/>
              <w:rPr>
                <w:sz w:val="24"/>
              </w:rPr>
            </w:pPr>
            <w:r>
              <w:rPr>
                <w:rFonts w:hint="eastAsia"/>
                <w:sz w:val="24"/>
              </w:rPr>
              <w:t>92</w:t>
            </w:r>
          </w:p>
        </w:tc>
        <w:tc>
          <w:tcPr>
            <w:tcW w:w="1166" w:type="dxa"/>
            <w:vAlign w:val="center"/>
          </w:tcPr>
          <w:p w:rsidR="002D273C" w:rsidRDefault="00BA7E2A">
            <w:pPr>
              <w:widowControl/>
              <w:jc w:val="center"/>
              <w:rPr>
                <w:sz w:val="24"/>
              </w:rPr>
            </w:pPr>
            <w:r>
              <w:rPr>
                <w:rFonts w:hint="eastAsia"/>
                <w:sz w:val="24"/>
              </w:rPr>
              <w:t>18</w:t>
            </w:r>
          </w:p>
        </w:tc>
        <w:tc>
          <w:tcPr>
            <w:tcW w:w="1134" w:type="dxa"/>
            <w:vAlign w:val="center"/>
          </w:tcPr>
          <w:p w:rsidR="002D273C" w:rsidRDefault="00BA7E2A">
            <w:pPr>
              <w:widowControl/>
              <w:jc w:val="center"/>
              <w:rPr>
                <w:sz w:val="24"/>
              </w:rPr>
            </w:pPr>
            <w:r>
              <w:rPr>
                <w:rFonts w:hint="eastAsia"/>
                <w:sz w:val="24"/>
              </w:rPr>
              <w:t>286</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潍坊</w:t>
            </w:r>
          </w:p>
        </w:tc>
        <w:tc>
          <w:tcPr>
            <w:tcW w:w="1420" w:type="dxa"/>
            <w:shd w:val="clear" w:color="auto" w:fill="auto"/>
            <w:noWrap/>
            <w:vAlign w:val="center"/>
          </w:tcPr>
          <w:p w:rsidR="002D273C" w:rsidRDefault="00BA7E2A">
            <w:pPr>
              <w:widowControl/>
              <w:jc w:val="center"/>
              <w:rPr>
                <w:sz w:val="24"/>
              </w:rPr>
            </w:pPr>
            <w:r>
              <w:rPr>
                <w:rFonts w:hint="eastAsia"/>
                <w:sz w:val="24"/>
              </w:rPr>
              <w:t>659</w:t>
            </w:r>
          </w:p>
        </w:tc>
        <w:tc>
          <w:tcPr>
            <w:tcW w:w="1134" w:type="dxa"/>
            <w:shd w:val="clear" w:color="auto" w:fill="auto"/>
            <w:noWrap/>
            <w:vAlign w:val="center"/>
          </w:tcPr>
          <w:p w:rsidR="002D273C" w:rsidRDefault="00BA7E2A">
            <w:pPr>
              <w:widowControl/>
              <w:jc w:val="center"/>
              <w:rPr>
                <w:sz w:val="24"/>
              </w:rPr>
            </w:pPr>
            <w:r>
              <w:rPr>
                <w:rFonts w:hint="eastAsia"/>
                <w:sz w:val="24"/>
              </w:rPr>
              <w:t>531</w:t>
            </w:r>
          </w:p>
        </w:tc>
        <w:tc>
          <w:tcPr>
            <w:tcW w:w="1272" w:type="dxa"/>
            <w:vAlign w:val="center"/>
          </w:tcPr>
          <w:p w:rsidR="002D273C" w:rsidRDefault="00BA7E2A">
            <w:pPr>
              <w:widowControl/>
              <w:jc w:val="center"/>
              <w:rPr>
                <w:sz w:val="24"/>
              </w:rPr>
            </w:pPr>
            <w:r>
              <w:rPr>
                <w:rFonts w:hint="eastAsia"/>
                <w:sz w:val="24"/>
              </w:rPr>
              <w:t>80.6%</w:t>
            </w:r>
          </w:p>
        </w:tc>
        <w:tc>
          <w:tcPr>
            <w:tcW w:w="1811" w:type="dxa"/>
            <w:vAlign w:val="center"/>
          </w:tcPr>
          <w:p w:rsidR="002D273C" w:rsidRDefault="00BA7E2A">
            <w:pPr>
              <w:widowControl/>
              <w:jc w:val="center"/>
              <w:rPr>
                <w:sz w:val="24"/>
              </w:rPr>
            </w:pPr>
            <w:r>
              <w:rPr>
                <w:rFonts w:hint="eastAsia"/>
                <w:sz w:val="24"/>
              </w:rPr>
              <w:t>39</w:t>
            </w:r>
          </w:p>
        </w:tc>
        <w:tc>
          <w:tcPr>
            <w:tcW w:w="1166" w:type="dxa"/>
            <w:vAlign w:val="center"/>
          </w:tcPr>
          <w:p w:rsidR="002D273C" w:rsidRDefault="00BA7E2A">
            <w:pPr>
              <w:widowControl/>
              <w:jc w:val="center"/>
              <w:rPr>
                <w:sz w:val="24"/>
              </w:rPr>
            </w:pPr>
            <w:r>
              <w:rPr>
                <w:rFonts w:hint="eastAsia"/>
                <w:sz w:val="24"/>
              </w:rPr>
              <w:t>24</w:t>
            </w:r>
          </w:p>
        </w:tc>
        <w:tc>
          <w:tcPr>
            <w:tcW w:w="1134" w:type="dxa"/>
            <w:vAlign w:val="center"/>
          </w:tcPr>
          <w:p w:rsidR="002D273C" w:rsidRDefault="00BA7E2A">
            <w:pPr>
              <w:widowControl/>
              <w:jc w:val="center"/>
              <w:rPr>
                <w:sz w:val="24"/>
              </w:rPr>
            </w:pPr>
            <w:r>
              <w:rPr>
                <w:rFonts w:hint="eastAsia"/>
                <w:sz w:val="24"/>
              </w:rPr>
              <w:t>370</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济宁</w:t>
            </w:r>
          </w:p>
        </w:tc>
        <w:tc>
          <w:tcPr>
            <w:tcW w:w="1420" w:type="dxa"/>
            <w:shd w:val="clear" w:color="auto" w:fill="auto"/>
            <w:noWrap/>
            <w:vAlign w:val="center"/>
          </w:tcPr>
          <w:p w:rsidR="002D273C" w:rsidRDefault="00BA7E2A">
            <w:pPr>
              <w:widowControl/>
              <w:jc w:val="center"/>
              <w:rPr>
                <w:sz w:val="24"/>
              </w:rPr>
            </w:pPr>
            <w:r>
              <w:rPr>
                <w:rFonts w:hint="eastAsia"/>
                <w:sz w:val="24"/>
              </w:rPr>
              <w:t>827</w:t>
            </w:r>
          </w:p>
        </w:tc>
        <w:tc>
          <w:tcPr>
            <w:tcW w:w="1134" w:type="dxa"/>
            <w:shd w:val="clear" w:color="auto" w:fill="auto"/>
            <w:noWrap/>
            <w:vAlign w:val="center"/>
          </w:tcPr>
          <w:p w:rsidR="002D273C" w:rsidRDefault="00BA7E2A">
            <w:pPr>
              <w:widowControl/>
              <w:jc w:val="center"/>
              <w:rPr>
                <w:sz w:val="24"/>
              </w:rPr>
            </w:pPr>
            <w:r>
              <w:rPr>
                <w:rFonts w:hint="eastAsia"/>
                <w:sz w:val="24"/>
              </w:rPr>
              <w:t>646</w:t>
            </w:r>
          </w:p>
        </w:tc>
        <w:tc>
          <w:tcPr>
            <w:tcW w:w="1272" w:type="dxa"/>
            <w:vAlign w:val="center"/>
          </w:tcPr>
          <w:p w:rsidR="002D273C" w:rsidRDefault="00BA7E2A">
            <w:pPr>
              <w:widowControl/>
              <w:jc w:val="center"/>
              <w:rPr>
                <w:sz w:val="24"/>
              </w:rPr>
            </w:pPr>
            <w:r>
              <w:rPr>
                <w:rFonts w:hint="eastAsia"/>
                <w:sz w:val="24"/>
              </w:rPr>
              <w:t>78.1%</w:t>
            </w:r>
          </w:p>
        </w:tc>
        <w:tc>
          <w:tcPr>
            <w:tcW w:w="1811" w:type="dxa"/>
            <w:vAlign w:val="center"/>
          </w:tcPr>
          <w:p w:rsidR="002D273C" w:rsidRDefault="00BA7E2A">
            <w:pPr>
              <w:widowControl/>
              <w:jc w:val="center"/>
              <w:rPr>
                <w:sz w:val="24"/>
              </w:rPr>
            </w:pPr>
            <w:r>
              <w:rPr>
                <w:rFonts w:hint="eastAsia"/>
                <w:sz w:val="24"/>
              </w:rPr>
              <w:t>193</w:t>
            </w:r>
          </w:p>
        </w:tc>
        <w:tc>
          <w:tcPr>
            <w:tcW w:w="1166" w:type="dxa"/>
            <w:vAlign w:val="center"/>
          </w:tcPr>
          <w:p w:rsidR="002D273C" w:rsidRDefault="00BA7E2A">
            <w:pPr>
              <w:widowControl/>
              <w:jc w:val="center"/>
              <w:rPr>
                <w:sz w:val="24"/>
              </w:rPr>
            </w:pPr>
            <w:r>
              <w:rPr>
                <w:rFonts w:hint="eastAsia"/>
                <w:sz w:val="24"/>
              </w:rPr>
              <w:t>167</w:t>
            </w:r>
          </w:p>
        </w:tc>
        <w:tc>
          <w:tcPr>
            <w:tcW w:w="1134" w:type="dxa"/>
            <w:vAlign w:val="center"/>
          </w:tcPr>
          <w:p w:rsidR="002D273C" w:rsidRDefault="00BA7E2A">
            <w:pPr>
              <w:widowControl/>
              <w:jc w:val="center"/>
              <w:rPr>
                <w:sz w:val="24"/>
              </w:rPr>
            </w:pPr>
            <w:r>
              <w:rPr>
                <w:rFonts w:hint="eastAsia"/>
                <w:sz w:val="24"/>
              </w:rPr>
              <w:t>385</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泰安</w:t>
            </w:r>
          </w:p>
        </w:tc>
        <w:tc>
          <w:tcPr>
            <w:tcW w:w="1420" w:type="dxa"/>
            <w:shd w:val="clear" w:color="auto" w:fill="auto"/>
            <w:noWrap/>
            <w:vAlign w:val="center"/>
          </w:tcPr>
          <w:p w:rsidR="002D273C" w:rsidRDefault="00BA7E2A">
            <w:pPr>
              <w:widowControl/>
              <w:jc w:val="center"/>
              <w:rPr>
                <w:sz w:val="24"/>
              </w:rPr>
            </w:pPr>
            <w:r>
              <w:rPr>
                <w:rFonts w:hint="eastAsia"/>
                <w:sz w:val="24"/>
              </w:rPr>
              <w:t>473</w:t>
            </w:r>
          </w:p>
        </w:tc>
        <w:tc>
          <w:tcPr>
            <w:tcW w:w="1134" w:type="dxa"/>
            <w:shd w:val="clear" w:color="auto" w:fill="auto"/>
            <w:noWrap/>
            <w:vAlign w:val="center"/>
          </w:tcPr>
          <w:p w:rsidR="002D273C" w:rsidRDefault="00BA7E2A">
            <w:pPr>
              <w:widowControl/>
              <w:jc w:val="center"/>
              <w:rPr>
                <w:sz w:val="24"/>
              </w:rPr>
            </w:pPr>
            <w:r>
              <w:rPr>
                <w:rFonts w:hint="eastAsia"/>
                <w:sz w:val="24"/>
              </w:rPr>
              <w:t>198</w:t>
            </w:r>
          </w:p>
        </w:tc>
        <w:tc>
          <w:tcPr>
            <w:tcW w:w="1272" w:type="dxa"/>
            <w:vAlign w:val="center"/>
          </w:tcPr>
          <w:p w:rsidR="002D273C" w:rsidRDefault="00BA7E2A">
            <w:pPr>
              <w:widowControl/>
              <w:jc w:val="center"/>
              <w:rPr>
                <w:sz w:val="24"/>
              </w:rPr>
            </w:pPr>
            <w:r>
              <w:rPr>
                <w:rFonts w:hint="eastAsia"/>
                <w:sz w:val="24"/>
              </w:rPr>
              <w:t>42.0%</w:t>
            </w:r>
          </w:p>
        </w:tc>
        <w:tc>
          <w:tcPr>
            <w:tcW w:w="1811" w:type="dxa"/>
            <w:vAlign w:val="center"/>
          </w:tcPr>
          <w:p w:rsidR="002D273C" w:rsidRDefault="00BA7E2A">
            <w:pPr>
              <w:widowControl/>
              <w:jc w:val="center"/>
              <w:rPr>
                <w:sz w:val="24"/>
              </w:rPr>
            </w:pPr>
            <w:r>
              <w:rPr>
                <w:rFonts w:hint="eastAsia"/>
                <w:sz w:val="24"/>
              </w:rPr>
              <w:t>11</w:t>
            </w:r>
          </w:p>
        </w:tc>
        <w:tc>
          <w:tcPr>
            <w:tcW w:w="1166" w:type="dxa"/>
            <w:vAlign w:val="center"/>
          </w:tcPr>
          <w:p w:rsidR="002D273C" w:rsidRDefault="00BA7E2A">
            <w:pPr>
              <w:widowControl/>
              <w:jc w:val="center"/>
              <w:rPr>
                <w:sz w:val="24"/>
              </w:rPr>
            </w:pPr>
            <w:r>
              <w:rPr>
                <w:rFonts w:hint="eastAsia"/>
                <w:sz w:val="24"/>
              </w:rPr>
              <w:t>0</w:t>
            </w:r>
          </w:p>
        </w:tc>
        <w:tc>
          <w:tcPr>
            <w:tcW w:w="1134" w:type="dxa"/>
            <w:vAlign w:val="center"/>
          </w:tcPr>
          <w:p w:rsidR="002D273C" w:rsidRDefault="00BA7E2A">
            <w:pPr>
              <w:widowControl/>
              <w:jc w:val="center"/>
              <w:rPr>
                <w:sz w:val="24"/>
              </w:rPr>
            </w:pPr>
            <w:r>
              <w:rPr>
                <w:rFonts w:hint="eastAsia"/>
                <w:sz w:val="24"/>
              </w:rPr>
              <w:t>11</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威海</w:t>
            </w:r>
          </w:p>
        </w:tc>
        <w:tc>
          <w:tcPr>
            <w:tcW w:w="1420" w:type="dxa"/>
            <w:shd w:val="clear" w:color="auto" w:fill="auto"/>
            <w:noWrap/>
            <w:vAlign w:val="center"/>
          </w:tcPr>
          <w:p w:rsidR="002D273C" w:rsidRDefault="00BA7E2A">
            <w:pPr>
              <w:widowControl/>
              <w:jc w:val="center"/>
              <w:rPr>
                <w:sz w:val="24"/>
              </w:rPr>
            </w:pPr>
            <w:r>
              <w:rPr>
                <w:rFonts w:hint="eastAsia"/>
                <w:sz w:val="24"/>
              </w:rPr>
              <w:t>310</w:t>
            </w:r>
          </w:p>
        </w:tc>
        <w:tc>
          <w:tcPr>
            <w:tcW w:w="1134" w:type="dxa"/>
            <w:shd w:val="clear" w:color="auto" w:fill="auto"/>
            <w:noWrap/>
            <w:vAlign w:val="center"/>
          </w:tcPr>
          <w:p w:rsidR="002D273C" w:rsidRDefault="00BA7E2A">
            <w:pPr>
              <w:widowControl/>
              <w:jc w:val="center"/>
              <w:rPr>
                <w:sz w:val="24"/>
              </w:rPr>
            </w:pPr>
            <w:r>
              <w:rPr>
                <w:rFonts w:hint="eastAsia"/>
                <w:sz w:val="24"/>
              </w:rPr>
              <w:t>291</w:t>
            </w:r>
          </w:p>
        </w:tc>
        <w:tc>
          <w:tcPr>
            <w:tcW w:w="1272" w:type="dxa"/>
            <w:vAlign w:val="center"/>
          </w:tcPr>
          <w:p w:rsidR="002D273C" w:rsidRDefault="00BA7E2A">
            <w:pPr>
              <w:widowControl/>
              <w:jc w:val="center"/>
              <w:rPr>
                <w:sz w:val="24"/>
              </w:rPr>
            </w:pPr>
            <w:r>
              <w:rPr>
                <w:rFonts w:hint="eastAsia"/>
                <w:sz w:val="24"/>
              </w:rPr>
              <w:t>93.9%</w:t>
            </w:r>
          </w:p>
        </w:tc>
        <w:tc>
          <w:tcPr>
            <w:tcW w:w="1811" w:type="dxa"/>
            <w:vAlign w:val="center"/>
          </w:tcPr>
          <w:p w:rsidR="002D273C" w:rsidRDefault="00BA7E2A">
            <w:pPr>
              <w:widowControl/>
              <w:jc w:val="center"/>
              <w:rPr>
                <w:sz w:val="24"/>
              </w:rPr>
            </w:pPr>
            <w:r>
              <w:rPr>
                <w:rFonts w:hint="eastAsia"/>
                <w:sz w:val="24"/>
              </w:rPr>
              <w:t>79</w:t>
            </w:r>
          </w:p>
        </w:tc>
        <w:tc>
          <w:tcPr>
            <w:tcW w:w="1166" w:type="dxa"/>
            <w:vAlign w:val="center"/>
          </w:tcPr>
          <w:p w:rsidR="002D273C" w:rsidRDefault="00BA7E2A">
            <w:pPr>
              <w:widowControl/>
              <w:jc w:val="center"/>
              <w:rPr>
                <w:sz w:val="24"/>
              </w:rPr>
            </w:pPr>
            <w:r>
              <w:rPr>
                <w:rFonts w:hint="eastAsia"/>
                <w:sz w:val="24"/>
              </w:rPr>
              <w:t>30</w:t>
            </w:r>
          </w:p>
        </w:tc>
        <w:tc>
          <w:tcPr>
            <w:tcW w:w="1134" w:type="dxa"/>
            <w:vAlign w:val="center"/>
          </w:tcPr>
          <w:p w:rsidR="002D273C" w:rsidRDefault="00BA7E2A">
            <w:pPr>
              <w:widowControl/>
              <w:jc w:val="center"/>
              <w:rPr>
                <w:sz w:val="24"/>
              </w:rPr>
            </w:pPr>
            <w:r>
              <w:rPr>
                <w:rFonts w:hint="eastAsia"/>
                <w:sz w:val="24"/>
              </w:rPr>
              <w:t>247</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日照</w:t>
            </w:r>
          </w:p>
        </w:tc>
        <w:tc>
          <w:tcPr>
            <w:tcW w:w="1420" w:type="dxa"/>
            <w:shd w:val="clear" w:color="auto" w:fill="auto"/>
            <w:noWrap/>
            <w:vAlign w:val="center"/>
          </w:tcPr>
          <w:p w:rsidR="002D273C" w:rsidRDefault="00BA7E2A">
            <w:pPr>
              <w:widowControl/>
              <w:jc w:val="center"/>
              <w:rPr>
                <w:sz w:val="24"/>
              </w:rPr>
            </w:pPr>
            <w:r>
              <w:rPr>
                <w:rFonts w:hint="eastAsia"/>
                <w:sz w:val="24"/>
              </w:rPr>
              <w:t>397</w:t>
            </w:r>
          </w:p>
        </w:tc>
        <w:tc>
          <w:tcPr>
            <w:tcW w:w="1134" w:type="dxa"/>
            <w:shd w:val="clear" w:color="auto" w:fill="auto"/>
            <w:noWrap/>
            <w:vAlign w:val="center"/>
          </w:tcPr>
          <w:p w:rsidR="002D273C" w:rsidRDefault="00BA7E2A">
            <w:pPr>
              <w:widowControl/>
              <w:jc w:val="center"/>
              <w:rPr>
                <w:sz w:val="24"/>
              </w:rPr>
            </w:pPr>
            <w:r>
              <w:rPr>
                <w:rFonts w:hint="eastAsia"/>
                <w:sz w:val="24"/>
              </w:rPr>
              <w:t>257</w:t>
            </w:r>
          </w:p>
        </w:tc>
        <w:tc>
          <w:tcPr>
            <w:tcW w:w="1272" w:type="dxa"/>
            <w:vAlign w:val="center"/>
          </w:tcPr>
          <w:p w:rsidR="002D273C" w:rsidRDefault="00BA7E2A">
            <w:pPr>
              <w:widowControl/>
              <w:jc w:val="center"/>
              <w:rPr>
                <w:sz w:val="24"/>
              </w:rPr>
            </w:pPr>
            <w:r>
              <w:rPr>
                <w:rFonts w:hint="eastAsia"/>
                <w:sz w:val="24"/>
              </w:rPr>
              <w:t>64.7%</w:t>
            </w:r>
          </w:p>
        </w:tc>
        <w:tc>
          <w:tcPr>
            <w:tcW w:w="1811" w:type="dxa"/>
            <w:vAlign w:val="center"/>
          </w:tcPr>
          <w:p w:rsidR="002D273C" w:rsidRDefault="00BA7E2A">
            <w:pPr>
              <w:widowControl/>
              <w:jc w:val="center"/>
              <w:rPr>
                <w:sz w:val="24"/>
              </w:rPr>
            </w:pPr>
            <w:r>
              <w:rPr>
                <w:rFonts w:hint="eastAsia"/>
                <w:sz w:val="24"/>
              </w:rPr>
              <w:t>141</w:t>
            </w:r>
          </w:p>
        </w:tc>
        <w:tc>
          <w:tcPr>
            <w:tcW w:w="1166" w:type="dxa"/>
            <w:vAlign w:val="center"/>
          </w:tcPr>
          <w:p w:rsidR="002D273C" w:rsidRDefault="00BA7E2A">
            <w:pPr>
              <w:widowControl/>
              <w:jc w:val="center"/>
              <w:rPr>
                <w:sz w:val="24"/>
              </w:rPr>
            </w:pPr>
            <w:r>
              <w:rPr>
                <w:rFonts w:hint="eastAsia"/>
                <w:sz w:val="24"/>
              </w:rPr>
              <w:t>75</w:t>
            </w:r>
          </w:p>
        </w:tc>
        <w:tc>
          <w:tcPr>
            <w:tcW w:w="1134" w:type="dxa"/>
            <w:vAlign w:val="center"/>
          </w:tcPr>
          <w:p w:rsidR="002D273C" w:rsidRDefault="00BA7E2A">
            <w:pPr>
              <w:widowControl/>
              <w:jc w:val="center"/>
              <w:rPr>
                <w:sz w:val="24"/>
              </w:rPr>
            </w:pPr>
            <w:r>
              <w:rPr>
                <w:rFonts w:hint="eastAsia"/>
                <w:sz w:val="24"/>
              </w:rPr>
              <w:t>167</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滨州</w:t>
            </w:r>
          </w:p>
        </w:tc>
        <w:tc>
          <w:tcPr>
            <w:tcW w:w="1420" w:type="dxa"/>
            <w:shd w:val="clear" w:color="auto" w:fill="auto"/>
            <w:noWrap/>
            <w:vAlign w:val="center"/>
          </w:tcPr>
          <w:p w:rsidR="002D273C" w:rsidRDefault="00BA7E2A">
            <w:pPr>
              <w:widowControl/>
              <w:jc w:val="center"/>
              <w:rPr>
                <w:sz w:val="24"/>
              </w:rPr>
            </w:pPr>
            <w:r>
              <w:rPr>
                <w:rFonts w:hint="eastAsia"/>
                <w:sz w:val="24"/>
              </w:rPr>
              <w:t>285</w:t>
            </w:r>
          </w:p>
        </w:tc>
        <w:tc>
          <w:tcPr>
            <w:tcW w:w="1134" w:type="dxa"/>
            <w:shd w:val="clear" w:color="auto" w:fill="auto"/>
            <w:noWrap/>
            <w:vAlign w:val="center"/>
          </w:tcPr>
          <w:p w:rsidR="002D273C" w:rsidRDefault="00BA7E2A">
            <w:pPr>
              <w:widowControl/>
              <w:jc w:val="center"/>
              <w:rPr>
                <w:sz w:val="24"/>
              </w:rPr>
            </w:pPr>
            <w:r>
              <w:rPr>
                <w:rFonts w:hint="eastAsia"/>
                <w:sz w:val="24"/>
              </w:rPr>
              <w:t>273</w:t>
            </w:r>
          </w:p>
        </w:tc>
        <w:tc>
          <w:tcPr>
            <w:tcW w:w="1272" w:type="dxa"/>
            <w:vAlign w:val="center"/>
          </w:tcPr>
          <w:p w:rsidR="002D273C" w:rsidRDefault="00BA7E2A">
            <w:pPr>
              <w:widowControl/>
              <w:jc w:val="center"/>
              <w:rPr>
                <w:sz w:val="24"/>
              </w:rPr>
            </w:pPr>
            <w:r>
              <w:rPr>
                <w:rFonts w:hint="eastAsia"/>
                <w:sz w:val="24"/>
              </w:rPr>
              <w:t>95.8%</w:t>
            </w:r>
          </w:p>
        </w:tc>
        <w:tc>
          <w:tcPr>
            <w:tcW w:w="1811" w:type="dxa"/>
            <w:vAlign w:val="center"/>
          </w:tcPr>
          <w:p w:rsidR="002D273C" w:rsidRDefault="00BA7E2A">
            <w:pPr>
              <w:widowControl/>
              <w:jc w:val="center"/>
              <w:rPr>
                <w:sz w:val="24"/>
              </w:rPr>
            </w:pPr>
            <w:r>
              <w:rPr>
                <w:rFonts w:hint="eastAsia"/>
                <w:sz w:val="24"/>
              </w:rPr>
              <w:t>41</w:t>
            </w:r>
          </w:p>
        </w:tc>
        <w:tc>
          <w:tcPr>
            <w:tcW w:w="1166" w:type="dxa"/>
            <w:vAlign w:val="center"/>
          </w:tcPr>
          <w:p w:rsidR="002D273C" w:rsidRDefault="00BA7E2A">
            <w:pPr>
              <w:widowControl/>
              <w:jc w:val="center"/>
              <w:rPr>
                <w:sz w:val="24"/>
              </w:rPr>
            </w:pPr>
            <w:r>
              <w:rPr>
                <w:rFonts w:hint="eastAsia"/>
                <w:sz w:val="24"/>
              </w:rPr>
              <w:t>41</w:t>
            </w:r>
          </w:p>
        </w:tc>
        <w:tc>
          <w:tcPr>
            <w:tcW w:w="1134" w:type="dxa"/>
            <w:vAlign w:val="center"/>
          </w:tcPr>
          <w:p w:rsidR="002D273C" w:rsidRDefault="00BA7E2A">
            <w:pPr>
              <w:widowControl/>
              <w:jc w:val="center"/>
              <w:rPr>
                <w:sz w:val="24"/>
              </w:rPr>
            </w:pPr>
            <w:r>
              <w:rPr>
                <w:rFonts w:hint="eastAsia"/>
                <w:sz w:val="24"/>
              </w:rPr>
              <w:t>232</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德州</w:t>
            </w:r>
          </w:p>
        </w:tc>
        <w:tc>
          <w:tcPr>
            <w:tcW w:w="1420" w:type="dxa"/>
            <w:shd w:val="clear" w:color="auto" w:fill="auto"/>
            <w:noWrap/>
            <w:vAlign w:val="center"/>
          </w:tcPr>
          <w:p w:rsidR="002D273C" w:rsidRDefault="00BA7E2A">
            <w:pPr>
              <w:widowControl/>
              <w:jc w:val="center"/>
              <w:rPr>
                <w:sz w:val="24"/>
              </w:rPr>
            </w:pPr>
            <w:r>
              <w:rPr>
                <w:rFonts w:hint="eastAsia"/>
                <w:sz w:val="24"/>
              </w:rPr>
              <w:t>371</w:t>
            </w:r>
          </w:p>
        </w:tc>
        <w:tc>
          <w:tcPr>
            <w:tcW w:w="1134" w:type="dxa"/>
            <w:shd w:val="clear" w:color="auto" w:fill="auto"/>
            <w:noWrap/>
            <w:vAlign w:val="center"/>
          </w:tcPr>
          <w:p w:rsidR="002D273C" w:rsidRDefault="00BA7E2A">
            <w:pPr>
              <w:widowControl/>
              <w:jc w:val="center"/>
              <w:rPr>
                <w:sz w:val="24"/>
              </w:rPr>
            </w:pPr>
            <w:r>
              <w:rPr>
                <w:rFonts w:hint="eastAsia"/>
                <w:sz w:val="24"/>
              </w:rPr>
              <w:t>361</w:t>
            </w:r>
          </w:p>
        </w:tc>
        <w:tc>
          <w:tcPr>
            <w:tcW w:w="1272" w:type="dxa"/>
            <w:vAlign w:val="center"/>
          </w:tcPr>
          <w:p w:rsidR="002D273C" w:rsidRDefault="00BA7E2A">
            <w:pPr>
              <w:widowControl/>
              <w:jc w:val="center"/>
              <w:rPr>
                <w:sz w:val="24"/>
              </w:rPr>
            </w:pPr>
            <w:r>
              <w:rPr>
                <w:rFonts w:hint="eastAsia"/>
                <w:sz w:val="24"/>
              </w:rPr>
              <w:t>97.3%</w:t>
            </w:r>
          </w:p>
        </w:tc>
        <w:tc>
          <w:tcPr>
            <w:tcW w:w="1811" w:type="dxa"/>
            <w:vAlign w:val="center"/>
          </w:tcPr>
          <w:p w:rsidR="002D273C" w:rsidRDefault="00BA7E2A">
            <w:pPr>
              <w:widowControl/>
              <w:jc w:val="center"/>
              <w:rPr>
                <w:sz w:val="24"/>
              </w:rPr>
            </w:pPr>
            <w:r>
              <w:rPr>
                <w:rFonts w:hint="eastAsia"/>
                <w:sz w:val="24"/>
              </w:rPr>
              <w:t>135</w:t>
            </w:r>
          </w:p>
        </w:tc>
        <w:tc>
          <w:tcPr>
            <w:tcW w:w="1166" w:type="dxa"/>
            <w:vAlign w:val="center"/>
          </w:tcPr>
          <w:p w:rsidR="002D273C" w:rsidRDefault="00BA7E2A">
            <w:pPr>
              <w:widowControl/>
              <w:jc w:val="center"/>
              <w:rPr>
                <w:sz w:val="24"/>
              </w:rPr>
            </w:pPr>
            <w:r>
              <w:rPr>
                <w:rFonts w:hint="eastAsia"/>
                <w:sz w:val="24"/>
              </w:rPr>
              <w:t>164</w:t>
            </w:r>
          </w:p>
        </w:tc>
        <w:tc>
          <w:tcPr>
            <w:tcW w:w="1134" w:type="dxa"/>
            <w:vAlign w:val="center"/>
          </w:tcPr>
          <w:p w:rsidR="002D273C" w:rsidRDefault="00BA7E2A">
            <w:pPr>
              <w:widowControl/>
              <w:jc w:val="center"/>
              <w:rPr>
                <w:sz w:val="24"/>
              </w:rPr>
            </w:pPr>
            <w:r>
              <w:rPr>
                <w:rFonts w:hint="eastAsia"/>
                <w:sz w:val="24"/>
              </w:rPr>
              <w:t>254</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聊城</w:t>
            </w:r>
          </w:p>
        </w:tc>
        <w:tc>
          <w:tcPr>
            <w:tcW w:w="1420" w:type="dxa"/>
            <w:shd w:val="clear" w:color="auto" w:fill="auto"/>
            <w:noWrap/>
            <w:vAlign w:val="center"/>
          </w:tcPr>
          <w:p w:rsidR="002D273C" w:rsidRDefault="00BA7E2A">
            <w:pPr>
              <w:widowControl/>
              <w:jc w:val="center"/>
              <w:rPr>
                <w:sz w:val="24"/>
              </w:rPr>
            </w:pPr>
            <w:r>
              <w:rPr>
                <w:rFonts w:hint="eastAsia"/>
                <w:sz w:val="24"/>
              </w:rPr>
              <w:t>611</w:t>
            </w:r>
          </w:p>
        </w:tc>
        <w:tc>
          <w:tcPr>
            <w:tcW w:w="1134" w:type="dxa"/>
            <w:shd w:val="clear" w:color="auto" w:fill="auto"/>
            <w:noWrap/>
            <w:vAlign w:val="center"/>
          </w:tcPr>
          <w:p w:rsidR="002D273C" w:rsidRDefault="00BA7E2A">
            <w:pPr>
              <w:widowControl/>
              <w:jc w:val="center"/>
              <w:rPr>
                <w:sz w:val="24"/>
              </w:rPr>
            </w:pPr>
            <w:r>
              <w:rPr>
                <w:rFonts w:hint="eastAsia"/>
                <w:sz w:val="24"/>
              </w:rPr>
              <w:t>382</w:t>
            </w:r>
          </w:p>
        </w:tc>
        <w:tc>
          <w:tcPr>
            <w:tcW w:w="1272" w:type="dxa"/>
            <w:vAlign w:val="center"/>
          </w:tcPr>
          <w:p w:rsidR="002D273C" w:rsidRDefault="00BA7E2A">
            <w:pPr>
              <w:widowControl/>
              <w:jc w:val="center"/>
              <w:rPr>
                <w:sz w:val="24"/>
              </w:rPr>
            </w:pPr>
            <w:r>
              <w:rPr>
                <w:rFonts w:hint="eastAsia"/>
                <w:sz w:val="24"/>
              </w:rPr>
              <w:t>62.5%</w:t>
            </w:r>
          </w:p>
        </w:tc>
        <w:tc>
          <w:tcPr>
            <w:tcW w:w="1811" w:type="dxa"/>
            <w:vAlign w:val="center"/>
          </w:tcPr>
          <w:p w:rsidR="002D273C" w:rsidRDefault="00BA7E2A">
            <w:pPr>
              <w:widowControl/>
              <w:jc w:val="center"/>
              <w:rPr>
                <w:sz w:val="24"/>
              </w:rPr>
            </w:pPr>
            <w:r>
              <w:rPr>
                <w:rFonts w:hint="eastAsia"/>
                <w:sz w:val="24"/>
              </w:rPr>
              <w:t>28</w:t>
            </w:r>
          </w:p>
        </w:tc>
        <w:tc>
          <w:tcPr>
            <w:tcW w:w="1166" w:type="dxa"/>
            <w:vAlign w:val="center"/>
          </w:tcPr>
          <w:p w:rsidR="002D273C" w:rsidRDefault="00BA7E2A">
            <w:pPr>
              <w:widowControl/>
              <w:jc w:val="center"/>
              <w:rPr>
                <w:sz w:val="24"/>
              </w:rPr>
            </w:pPr>
            <w:r>
              <w:rPr>
                <w:rFonts w:hint="eastAsia"/>
                <w:sz w:val="24"/>
              </w:rPr>
              <w:t>59</w:t>
            </w:r>
          </w:p>
        </w:tc>
        <w:tc>
          <w:tcPr>
            <w:tcW w:w="1134" w:type="dxa"/>
            <w:vAlign w:val="center"/>
          </w:tcPr>
          <w:p w:rsidR="002D273C" w:rsidRDefault="00BA7E2A">
            <w:pPr>
              <w:widowControl/>
              <w:jc w:val="center"/>
              <w:rPr>
                <w:sz w:val="24"/>
              </w:rPr>
            </w:pPr>
            <w:r>
              <w:rPr>
                <w:rFonts w:hint="eastAsia"/>
                <w:sz w:val="24"/>
              </w:rPr>
              <w:t>323</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临沂</w:t>
            </w:r>
          </w:p>
        </w:tc>
        <w:tc>
          <w:tcPr>
            <w:tcW w:w="1420" w:type="dxa"/>
            <w:shd w:val="clear" w:color="auto" w:fill="auto"/>
            <w:noWrap/>
            <w:vAlign w:val="center"/>
          </w:tcPr>
          <w:p w:rsidR="002D273C" w:rsidRDefault="00BA7E2A">
            <w:pPr>
              <w:widowControl/>
              <w:jc w:val="center"/>
              <w:rPr>
                <w:sz w:val="24"/>
              </w:rPr>
            </w:pPr>
            <w:r>
              <w:rPr>
                <w:rFonts w:hint="eastAsia"/>
                <w:sz w:val="24"/>
              </w:rPr>
              <w:t>970</w:t>
            </w:r>
          </w:p>
        </w:tc>
        <w:tc>
          <w:tcPr>
            <w:tcW w:w="1134" w:type="dxa"/>
            <w:shd w:val="clear" w:color="auto" w:fill="auto"/>
            <w:noWrap/>
            <w:vAlign w:val="center"/>
          </w:tcPr>
          <w:p w:rsidR="002D273C" w:rsidRDefault="00BA7E2A">
            <w:pPr>
              <w:widowControl/>
              <w:jc w:val="center"/>
              <w:rPr>
                <w:sz w:val="24"/>
              </w:rPr>
            </w:pPr>
            <w:r>
              <w:rPr>
                <w:rFonts w:hint="eastAsia"/>
                <w:sz w:val="24"/>
              </w:rPr>
              <w:t>689</w:t>
            </w:r>
          </w:p>
        </w:tc>
        <w:tc>
          <w:tcPr>
            <w:tcW w:w="1272" w:type="dxa"/>
            <w:vAlign w:val="center"/>
          </w:tcPr>
          <w:p w:rsidR="002D273C" w:rsidRDefault="00BA7E2A">
            <w:pPr>
              <w:widowControl/>
              <w:jc w:val="center"/>
              <w:rPr>
                <w:sz w:val="24"/>
              </w:rPr>
            </w:pPr>
            <w:r>
              <w:rPr>
                <w:rFonts w:hint="eastAsia"/>
                <w:sz w:val="24"/>
              </w:rPr>
              <w:t>71.0%</w:t>
            </w:r>
          </w:p>
        </w:tc>
        <w:tc>
          <w:tcPr>
            <w:tcW w:w="1811" w:type="dxa"/>
            <w:vAlign w:val="center"/>
          </w:tcPr>
          <w:p w:rsidR="002D273C" w:rsidRDefault="00BA7E2A">
            <w:pPr>
              <w:widowControl/>
              <w:jc w:val="center"/>
              <w:rPr>
                <w:sz w:val="24"/>
              </w:rPr>
            </w:pPr>
            <w:r>
              <w:rPr>
                <w:rFonts w:hint="eastAsia"/>
                <w:sz w:val="24"/>
              </w:rPr>
              <w:t>21</w:t>
            </w:r>
          </w:p>
        </w:tc>
        <w:tc>
          <w:tcPr>
            <w:tcW w:w="1166" w:type="dxa"/>
            <w:vAlign w:val="center"/>
          </w:tcPr>
          <w:p w:rsidR="002D273C" w:rsidRDefault="00BA7E2A">
            <w:pPr>
              <w:widowControl/>
              <w:jc w:val="center"/>
              <w:rPr>
                <w:sz w:val="24"/>
              </w:rPr>
            </w:pPr>
            <w:r>
              <w:rPr>
                <w:rFonts w:hint="eastAsia"/>
                <w:sz w:val="24"/>
              </w:rPr>
              <w:t>21</w:t>
            </w:r>
          </w:p>
        </w:tc>
        <w:tc>
          <w:tcPr>
            <w:tcW w:w="1134" w:type="dxa"/>
            <w:vAlign w:val="center"/>
          </w:tcPr>
          <w:p w:rsidR="002D273C" w:rsidRDefault="00BA7E2A">
            <w:pPr>
              <w:widowControl/>
              <w:jc w:val="center"/>
              <w:rPr>
                <w:sz w:val="24"/>
              </w:rPr>
            </w:pPr>
            <w:r>
              <w:rPr>
                <w:rFonts w:hint="eastAsia"/>
                <w:sz w:val="24"/>
              </w:rPr>
              <w:t>459</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菏泽</w:t>
            </w:r>
          </w:p>
        </w:tc>
        <w:tc>
          <w:tcPr>
            <w:tcW w:w="1420" w:type="dxa"/>
            <w:shd w:val="clear" w:color="auto" w:fill="auto"/>
            <w:noWrap/>
            <w:vAlign w:val="center"/>
          </w:tcPr>
          <w:p w:rsidR="002D273C" w:rsidRDefault="00BA7E2A">
            <w:pPr>
              <w:widowControl/>
              <w:jc w:val="center"/>
              <w:rPr>
                <w:sz w:val="24"/>
              </w:rPr>
            </w:pPr>
            <w:r>
              <w:rPr>
                <w:rFonts w:hint="eastAsia"/>
                <w:sz w:val="24"/>
              </w:rPr>
              <w:t>1152</w:t>
            </w:r>
          </w:p>
        </w:tc>
        <w:tc>
          <w:tcPr>
            <w:tcW w:w="1134" w:type="dxa"/>
            <w:shd w:val="clear" w:color="auto" w:fill="auto"/>
            <w:noWrap/>
            <w:vAlign w:val="center"/>
          </w:tcPr>
          <w:p w:rsidR="002D273C" w:rsidRDefault="00BA7E2A">
            <w:pPr>
              <w:widowControl/>
              <w:jc w:val="center"/>
              <w:rPr>
                <w:sz w:val="24"/>
              </w:rPr>
            </w:pPr>
            <w:r>
              <w:rPr>
                <w:rFonts w:hint="eastAsia"/>
                <w:sz w:val="24"/>
              </w:rPr>
              <w:t>841</w:t>
            </w:r>
          </w:p>
        </w:tc>
        <w:tc>
          <w:tcPr>
            <w:tcW w:w="1272" w:type="dxa"/>
            <w:vAlign w:val="center"/>
          </w:tcPr>
          <w:p w:rsidR="002D273C" w:rsidRDefault="00BA7E2A">
            <w:pPr>
              <w:widowControl/>
              <w:jc w:val="center"/>
              <w:rPr>
                <w:sz w:val="24"/>
              </w:rPr>
            </w:pPr>
            <w:r>
              <w:rPr>
                <w:rFonts w:hint="eastAsia"/>
                <w:sz w:val="24"/>
              </w:rPr>
              <w:t>73.0%</w:t>
            </w:r>
          </w:p>
        </w:tc>
        <w:tc>
          <w:tcPr>
            <w:tcW w:w="1811" w:type="dxa"/>
            <w:vAlign w:val="center"/>
          </w:tcPr>
          <w:p w:rsidR="002D273C" w:rsidRDefault="00BA7E2A">
            <w:pPr>
              <w:widowControl/>
              <w:jc w:val="center"/>
              <w:rPr>
                <w:sz w:val="24"/>
              </w:rPr>
            </w:pPr>
            <w:r>
              <w:rPr>
                <w:rFonts w:hint="eastAsia"/>
                <w:sz w:val="24"/>
              </w:rPr>
              <w:t>533</w:t>
            </w:r>
            <w:r>
              <w:rPr>
                <w:rFonts w:hint="eastAsia"/>
                <w:sz w:val="24"/>
              </w:rPr>
              <w:t>（</w:t>
            </w:r>
            <w:r>
              <w:rPr>
                <w:rFonts w:hint="eastAsia"/>
                <w:sz w:val="24"/>
              </w:rPr>
              <w:t>6</w:t>
            </w:r>
            <w:r>
              <w:rPr>
                <w:rFonts w:hint="eastAsia"/>
                <w:sz w:val="24"/>
              </w:rPr>
              <w:t>正职）</w:t>
            </w:r>
          </w:p>
        </w:tc>
        <w:tc>
          <w:tcPr>
            <w:tcW w:w="1166" w:type="dxa"/>
            <w:vAlign w:val="center"/>
          </w:tcPr>
          <w:p w:rsidR="002D273C" w:rsidRDefault="00BA7E2A">
            <w:pPr>
              <w:widowControl/>
              <w:jc w:val="center"/>
              <w:rPr>
                <w:sz w:val="24"/>
              </w:rPr>
            </w:pPr>
            <w:r>
              <w:rPr>
                <w:rFonts w:hint="eastAsia"/>
                <w:sz w:val="24"/>
              </w:rPr>
              <w:t>538</w:t>
            </w:r>
          </w:p>
        </w:tc>
        <w:tc>
          <w:tcPr>
            <w:tcW w:w="1134" w:type="dxa"/>
            <w:vAlign w:val="center"/>
          </w:tcPr>
          <w:p w:rsidR="002D273C" w:rsidRDefault="00BA7E2A">
            <w:pPr>
              <w:widowControl/>
              <w:jc w:val="center"/>
              <w:rPr>
                <w:sz w:val="24"/>
              </w:rPr>
            </w:pPr>
            <w:r>
              <w:rPr>
                <w:rFonts w:hint="eastAsia"/>
                <w:sz w:val="24"/>
              </w:rPr>
              <w:t>147</w:t>
            </w:r>
          </w:p>
        </w:tc>
      </w:tr>
      <w:tr w:rsidR="002D273C">
        <w:trPr>
          <w:trHeight w:hRule="exact" w:val="425"/>
        </w:trPr>
        <w:tc>
          <w:tcPr>
            <w:tcW w:w="994" w:type="dxa"/>
            <w:shd w:val="clear" w:color="auto" w:fill="auto"/>
            <w:noWrap/>
            <w:vAlign w:val="center"/>
          </w:tcPr>
          <w:p w:rsidR="002D273C" w:rsidRDefault="00BA7E2A">
            <w:pPr>
              <w:jc w:val="center"/>
              <w:rPr>
                <w:rFonts w:ascii="仿宋_GB2312"/>
                <w:sz w:val="24"/>
              </w:rPr>
            </w:pPr>
            <w:r>
              <w:rPr>
                <w:rFonts w:ascii="仿宋_GB2312" w:hint="eastAsia"/>
                <w:sz w:val="24"/>
              </w:rPr>
              <w:t>全省</w:t>
            </w:r>
          </w:p>
        </w:tc>
        <w:tc>
          <w:tcPr>
            <w:tcW w:w="1420" w:type="dxa"/>
            <w:shd w:val="clear" w:color="auto" w:fill="auto"/>
            <w:noWrap/>
            <w:vAlign w:val="center"/>
          </w:tcPr>
          <w:p w:rsidR="002D273C" w:rsidRDefault="00BA7E2A">
            <w:pPr>
              <w:widowControl/>
              <w:jc w:val="center"/>
              <w:rPr>
                <w:sz w:val="24"/>
              </w:rPr>
            </w:pPr>
            <w:r>
              <w:rPr>
                <w:rFonts w:hint="eastAsia"/>
                <w:sz w:val="24"/>
              </w:rPr>
              <w:t>12628</w:t>
            </w:r>
          </w:p>
        </w:tc>
        <w:tc>
          <w:tcPr>
            <w:tcW w:w="1134" w:type="dxa"/>
            <w:shd w:val="clear" w:color="auto" w:fill="auto"/>
            <w:noWrap/>
            <w:vAlign w:val="center"/>
          </w:tcPr>
          <w:p w:rsidR="002D273C" w:rsidRDefault="00BA7E2A">
            <w:pPr>
              <w:widowControl/>
              <w:jc w:val="center"/>
              <w:rPr>
                <w:sz w:val="24"/>
              </w:rPr>
            </w:pPr>
            <w:r>
              <w:rPr>
                <w:rFonts w:hint="eastAsia"/>
                <w:sz w:val="24"/>
              </w:rPr>
              <w:t>7448</w:t>
            </w:r>
          </w:p>
        </w:tc>
        <w:tc>
          <w:tcPr>
            <w:tcW w:w="1272" w:type="dxa"/>
            <w:vAlign w:val="center"/>
          </w:tcPr>
          <w:p w:rsidR="002D273C" w:rsidRDefault="00BA7E2A">
            <w:pPr>
              <w:widowControl/>
              <w:jc w:val="center"/>
              <w:rPr>
                <w:sz w:val="24"/>
              </w:rPr>
            </w:pPr>
            <w:r>
              <w:rPr>
                <w:rFonts w:hint="eastAsia"/>
                <w:sz w:val="24"/>
              </w:rPr>
              <w:t>59.5%</w:t>
            </w:r>
          </w:p>
        </w:tc>
        <w:tc>
          <w:tcPr>
            <w:tcW w:w="1811" w:type="dxa"/>
            <w:vAlign w:val="center"/>
          </w:tcPr>
          <w:p w:rsidR="002D273C" w:rsidRDefault="00BA7E2A">
            <w:pPr>
              <w:widowControl/>
              <w:jc w:val="center"/>
              <w:rPr>
                <w:sz w:val="24"/>
              </w:rPr>
            </w:pPr>
            <w:r>
              <w:rPr>
                <w:rFonts w:hint="eastAsia"/>
                <w:sz w:val="24"/>
              </w:rPr>
              <w:t>2618</w:t>
            </w:r>
            <w:r>
              <w:rPr>
                <w:rFonts w:hint="eastAsia"/>
                <w:sz w:val="24"/>
              </w:rPr>
              <w:t>（</w:t>
            </w:r>
            <w:r>
              <w:rPr>
                <w:rFonts w:hint="eastAsia"/>
                <w:sz w:val="24"/>
              </w:rPr>
              <w:t>71</w:t>
            </w:r>
            <w:r>
              <w:rPr>
                <w:rFonts w:hint="eastAsia"/>
                <w:sz w:val="24"/>
              </w:rPr>
              <w:t>正职）</w:t>
            </w:r>
          </w:p>
        </w:tc>
        <w:tc>
          <w:tcPr>
            <w:tcW w:w="1166" w:type="dxa"/>
            <w:vAlign w:val="center"/>
          </w:tcPr>
          <w:p w:rsidR="002D273C" w:rsidRDefault="00BA7E2A">
            <w:pPr>
              <w:widowControl/>
              <w:jc w:val="center"/>
              <w:rPr>
                <w:sz w:val="24"/>
              </w:rPr>
            </w:pPr>
            <w:r>
              <w:rPr>
                <w:rFonts w:hint="eastAsia"/>
                <w:sz w:val="24"/>
              </w:rPr>
              <w:t>1436</w:t>
            </w:r>
          </w:p>
        </w:tc>
        <w:tc>
          <w:tcPr>
            <w:tcW w:w="1134" w:type="dxa"/>
            <w:vAlign w:val="center"/>
          </w:tcPr>
          <w:p w:rsidR="002D273C" w:rsidRDefault="00BA7E2A">
            <w:pPr>
              <w:widowControl/>
              <w:jc w:val="center"/>
              <w:rPr>
                <w:sz w:val="24"/>
              </w:rPr>
            </w:pPr>
            <w:r>
              <w:rPr>
                <w:rFonts w:hint="eastAsia"/>
                <w:sz w:val="24"/>
              </w:rPr>
              <w:t>4826</w:t>
            </w:r>
          </w:p>
        </w:tc>
      </w:tr>
    </w:tbl>
    <w:p w:rsidR="002D273C" w:rsidRDefault="002D273C">
      <w:pPr>
        <w:spacing w:line="320" w:lineRule="exact"/>
        <w:ind w:firstLineChars="200" w:firstLine="640"/>
        <w:rPr>
          <w:rFonts w:ascii="楷体_GB2312" w:eastAsia="楷体_GB2312"/>
          <w:sz w:val="32"/>
          <w:szCs w:val="32"/>
        </w:rPr>
      </w:pPr>
    </w:p>
    <w:p w:rsidR="002D273C" w:rsidRDefault="00BA7E2A">
      <w:pPr>
        <w:spacing w:line="616" w:lineRule="exact"/>
        <w:ind w:firstLineChars="200" w:firstLine="640"/>
        <w:rPr>
          <w:rFonts w:ascii="仿宋_GB2312" w:eastAsia="仿宋_GB2312"/>
          <w:sz w:val="32"/>
          <w:szCs w:val="32"/>
        </w:rPr>
      </w:pPr>
      <w:r>
        <w:rPr>
          <w:rFonts w:ascii="楷体_GB2312" w:eastAsia="楷体_GB2312" w:hint="eastAsia"/>
          <w:sz w:val="32"/>
          <w:szCs w:val="32"/>
        </w:rPr>
        <w:t>（七）当事人诉权行使有待规范</w:t>
      </w:r>
    </w:p>
    <w:p w:rsidR="002D273C" w:rsidRDefault="00BA7E2A">
      <w:pPr>
        <w:spacing w:line="616"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近年来，人民法院裁定驳回起诉行政案件比率较高，司法审查发现，部分当事人诉权行使不当现象比较突出。</w:t>
      </w:r>
      <w:r>
        <w:rPr>
          <w:rFonts w:ascii="仿宋_GB2312" w:eastAsia="仿宋_GB2312" w:hint="eastAsia"/>
          <w:color w:val="000000" w:themeColor="text1"/>
          <w:sz w:val="32"/>
          <w:szCs w:val="32"/>
        </w:rPr>
        <w:t>2018</w:t>
      </w:r>
      <w:r>
        <w:rPr>
          <w:rFonts w:ascii="仿宋_GB2312" w:eastAsia="仿宋_GB2312" w:hint="eastAsia"/>
          <w:color w:val="000000" w:themeColor="text1"/>
          <w:sz w:val="32"/>
          <w:szCs w:val="32"/>
        </w:rPr>
        <w:t>年，全省法院裁定驳回起诉</w:t>
      </w:r>
      <w:r>
        <w:rPr>
          <w:rFonts w:ascii="仿宋_GB2312" w:eastAsia="仿宋_GB2312" w:hint="eastAsia"/>
          <w:color w:val="000000" w:themeColor="text1"/>
          <w:sz w:val="32"/>
          <w:szCs w:val="32"/>
        </w:rPr>
        <w:t>5597</w:t>
      </w:r>
      <w:r>
        <w:rPr>
          <w:rFonts w:ascii="仿宋_GB2312" w:eastAsia="仿宋_GB2312" w:hint="eastAsia"/>
          <w:color w:val="000000" w:themeColor="text1"/>
          <w:sz w:val="32"/>
          <w:szCs w:val="32"/>
        </w:rPr>
        <w:t>件，占一审结案数的</w:t>
      </w:r>
      <w:r>
        <w:rPr>
          <w:rFonts w:ascii="仿宋_GB2312" w:eastAsia="仿宋_GB2312" w:hint="eastAsia"/>
          <w:color w:val="000000" w:themeColor="text1"/>
          <w:sz w:val="32"/>
          <w:szCs w:val="32"/>
        </w:rPr>
        <w:t>34.2%</w:t>
      </w:r>
      <w:r>
        <w:rPr>
          <w:rFonts w:ascii="仿宋_GB2312" w:eastAsia="仿宋_GB2312" w:hint="eastAsia"/>
          <w:color w:val="000000" w:themeColor="text1"/>
          <w:sz w:val="32"/>
          <w:szCs w:val="32"/>
        </w:rPr>
        <w:t>。其中，不属于受案范围或对原告不产生实际影响的</w:t>
      </w:r>
      <w:r>
        <w:rPr>
          <w:rFonts w:ascii="仿宋_GB2312" w:eastAsia="仿宋_GB2312" w:hint="eastAsia"/>
          <w:color w:val="000000" w:themeColor="text1"/>
          <w:sz w:val="32"/>
          <w:szCs w:val="32"/>
        </w:rPr>
        <w:t>1131</w:t>
      </w:r>
      <w:r>
        <w:rPr>
          <w:rFonts w:ascii="仿宋_GB2312" w:eastAsia="仿宋_GB2312" w:hint="eastAsia"/>
          <w:color w:val="000000" w:themeColor="text1"/>
          <w:sz w:val="32"/>
          <w:szCs w:val="32"/>
        </w:rPr>
        <w:t>件，超过起诉</w:t>
      </w:r>
      <w:r>
        <w:rPr>
          <w:rFonts w:ascii="仿宋_GB2312" w:eastAsia="仿宋_GB2312" w:hint="eastAsia"/>
          <w:color w:val="000000" w:themeColor="text1"/>
          <w:sz w:val="32"/>
          <w:szCs w:val="32"/>
        </w:rPr>
        <w:lastRenderedPageBreak/>
        <w:t>期限的</w:t>
      </w:r>
      <w:r>
        <w:rPr>
          <w:rFonts w:ascii="仿宋_GB2312" w:eastAsia="仿宋_GB2312" w:hint="eastAsia"/>
          <w:color w:val="000000" w:themeColor="text1"/>
          <w:sz w:val="32"/>
          <w:szCs w:val="32"/>
        </w:rPr>
        <w:t>584</w:t>
      </w:r>
      <w:r>
        <w:rPr>
          <w:rFonts w:ascii="仿宋_GB2312" w:eastAsia="仿宋_GB2312" w:hint="eastAsia"/>
          <w:color w:val="000000" w:themeColor="text1"/>
          <w:sz w:val="32"/>
          <w:szCs w:val="32"/>
        </w:rPr>
        <w:t>件，不具有利害关系的</w:t>
      </w:r>
      <w:r>
        <w:rPr>
          <w:rFonts w:ascii="仿宋_GB2312" w:eastAsia="仿宋_GB2312" w:hint="eastAsia"/>
          <w:color w:val="000000" w:themeColor="text1"/>
          <w:sz w:val="32"/>
          <w:szCs w:val="32"/>
        </w:rPr>
        <w:t>584</w:t>
      </w:r>
      <w:r>
        <w:rPr>
          <w:rFonts w:ascii="仿宋_GB2312" w:eastAsia="仿宋_GB2312" w:hint="eastAsia"/>
          <w:color w:val="000000" w:themeColor="text1"/>
          <w:sz w:val="32"/>
          <w:szCs w:val="32"/>
        </w:rPr>
        <w:t>件，不属于管辖范围的</w:t>
      </w:r>
      <w:r>
        <w:rPr>
          <w:rFonts w:ascii="仿宋_GB2312" w:eastAsia="仿宋_GB2312" w:hint="eastAsia"/>
          <w:color w:val="000000" w:themeColor="text1"/>
          <w:sz w:val="32"/>
          <w:szCs w:val="32"/>
        </w:rPr>
        <w:t>229</w:t>
      </w:r>
      <w:r>
        <w:rPr>
          <w:rFonts w:ascii="仿宋_GB2312" w:eastAsia="仿宋_GB2312" w:hint="eastAsia"/>
          <w:color w:val="000000" w:themeColor="text1"/>
          <w:sz w:val="32"/>
          <w:szCs w:val="32"/>
        </w:rPr>
        <w:t>件，重复起诉等其他原因</w:t>
      </w:r>
      <w:r>
        <w:rPr>
          <w:rFonts w:ascii="仿宋_GB2312" w:eastAsia="仿宋_GB2312" w:hint="eastAsia"/>
          <w:color w:val="000000" w:themeColor="text1"/>
          <w:sz w:val="32"/>
          <w:szCs w:val="32"/>
        </w:rPr>
        <w:t>3937</w:t>
      </w:r>
      <w:r>
        <w:rPr>
          <w:rFonts w:ascii="仿宋_GB2312" w:eastAsia="仿宋_GB2312" w:hint="eastAsia"/>
          <w:color w:val="000000" w:themeColor="text1"/>
          <w:sz w:val="32"/>
          <w:szCs w:val="32"/>
        </w:rPr>
        <w:t>件。少数当事人滥用诉权问题仍然存在，如贾某某等人，在济南、青岛、淄博等地反复提起行政诉讼四百余件，历经一审、二审和申请再审，均被驳回起诉或者诉讼请求，浪费了大量司法资源。</w:t>
      </w:r>
    </w:p>
    <w:p w:rsidR="002D273C" w:rsidRDefault="00BA7E2A">
      <w:pPr>
        <w:spacing w:line="616" w:lineRule="exact"/>
        <w:ind w:firstLineChars="200" w:firstLine="640"/>
        <w:rPr>
          <w:rFonts w:ascii="仿宋_GB2312" w:eastAsia="仿宋_GB2312"/>
          <w:color w:val="000000" w:themeColor="text1"/>
          <w:sz w:val="32"/>
          <w:szCs w:val="32"/>
        </w:rPr>
      </w:pPr>
      <w:r>
        <w:rPr>
          <w:rFonts w:ascii="黑体" w:eastAsia="黑体" w:hAnsi="黑体" w:hint="eastAsia"/>
          <w:sz w:val="32"/>
          <w:szCs w:val="32"/>
        </w:rPr>
        <w:t>二、行政机关依法</w:t>
      </w:r>
      <w:r>
        <w:rPr>
          <w:rFonts w:ascii="黑体" w:eastAsia="黑体" w:hAnsi="黑体" w:hint="eastAsia"/>
          <w:sz w:val="32"/>
          <w:szCs w:val="32"/>
        </w:rPr>
        <w:t>行政工作中存在的主要问题</w:t>
      </w:r>
    </w:p>
    <w:p w:rsidR="002D273C" w:rsidRDefault="00BA7E2A">
      <w:pPr>
        <w:spacing w:line="616" w:lineRule="exact"/>
        <w:ind w:firstLineChars="200" w:firstLine="640"/>
        <w:rPr>
          <w:rFonts w:ascii="楷体_GB2312" w:eastAsia="楷体_GB2312" w:hAnsi="楷体"/>
          <w:bCs/>
          <w:sz w:val="32"/>
          <w:szCs w:val="32"/>
        </w:rPr>
      </w:pPr>
      <w:r>
        <w:rPr>
          <w:rFonts w:ascii="楷体_GB2312" w:eastAsia="楷体_GB2312" w:hAnsi="楷体" w:hint="eastAsia"/>
          <w:bCs/>
          <w:sz w:val="32"/>
          <w:szCs w:val="32"/>
        </w:rPr>
        <w:t>（一）行政执法中存在的问题</w:t>
      </w:r>
    </w:p>
    <w:p w:rsidR="002D273C" w:rsidRDefault="00BA7E2A">
      <w:pPr>
        <w:spacing w:line="616" w:lineRule="exact"/>
        <w:ind w:firstLineChars="200" w:firstLine="640"/>
        <w:rPr>
          <w:rFonts w:ascii="楷体_GB2312" w:eastAsia="楷体_GB2312"/>
          <w:sz w:val="32"/>
          <w:szCs w:val="32"/>
        </w:rPr>
      </w:pPr>
      <w:r>
        <w:rPr>
          <w:rFonts w:ascii="仿宋_GB2312" w:eastAsia="仿宋_GB2312" w:hAnsi="楷体" w:hint="eastAsia"/>
          <w:sz w:val="32"/>
          <w:szCs w:val="32"/>
        </w:rPr>
        <w:t>1.</w:t>
      </w:r>
      <w:r>
        <w:rPr>
          <w:rFonts w:ascii="仿宋_GB2312" w:eastAsia="仿宋_GB2312" w:hAnsi="楷体" w:hint="eastAsia"/>
          <w:sz w:val="32"/>
          <w:szCs w:val="32"/>
        </w:rPr>
        <w:t>征地拆迁方面。</w:t>
      </w:r>
      <w:r>
        <w:rPr>
          <w:rFonts w:ascii="仿宋_GB2312" w:eastAsia="仿宋_GB2312" w:hint="eastAsia"/>
          <w:sz w:val="32"/>
          <w:szCs w:val="32"/>
        </w:rPr>
        <w:t>2018</w:t>
      </w:r>
      <w:r>
        <w:rPr>
          <w:rFonts w:ascii="仿宋_GB2312" w:eastAsia="仿宋_GB2312" w:hint="eastAsia"/>
          <w:sz w:val="32"/>
          <w:szCs w:val="32"/>
        </w:rPr>
        <w:t>年，在征收拆迁领域中行政机关败诉</w:t>
      </w:r>
      <w:r>
        <w:rPr>
          <w:rFonts w:ascii="仿宋_GB2312" w:eastAsia="仿宋_GB2312" w:hint="eastAsia"/>
          <w:sz w:val="32"/>
          <w:szCs w:val="32"/>
        </w:rPr>
        <w:t>967</w:t>
      </w:r>
      <w:r>
        <w:rPr>
          <w:rFonts w:ascii="仿宋_GB2312" w:eastAsia="仿宋_GB2312" w:hint="eastAsia"/>
          <w:sz w:val="32"/>
          <w:szCs w:val="32"/>
        </w:rPr>
        <w:t>件，占一审案件败诉数的</w:t>
      </w:r>
      <w:r>
        <w:rPr>
          <w:rFonts w:ascii="仿宋_GB2312" w:eastAsia="仿宋_GB2312" w:hint="eastAsia"/>
          <w:sz w:val="32"/>
          <w:szCs w:val="32"/>
        </w:rPr>
        <w:t>36%</w:t>
      </w:r>
      <w:r>
        <w:rPr>
          <w:rFonts w:ascii="仿宋_GB2312" w:eastAsia="仿宋_GB2312" w:hint="eastAsia"/>
          <w:sz w:val="32"/>
          <w:szCs w:val="32"/>
        </w:rPr>
        <w:t>。主要表现在：</w:t>
      </w:r>
      <w:r>
        <w:rPr>
          <w:rFonts w:ascii="仿宋_GB2312" w:eastAsia="仿宋_GB2312" w:hint="eastAsia"/>
          <w:b/>
          <w:sz w:val="32"/>
          <w:szCs w:val="32"/>
        </w:rPr>
        <w:t>一是</w:t>
      </w:r>
      <w:r>
        <w:rPr>
          <w:rFonts w:ascii="仿宋_GB2312" w:eastAsia="仿宋_GB2312" w:hint="eastAsia"/>
          <w:sz w:val="32"/>
          <w:szCs w:val="32"/>
        </w:rPr>
        <w:t>违法占地。有的工程项</w:t>
      </w:r>
      <w:r>
        <w:rPr>
          <w:rFonts w:ascii="仿宋_GB2312" w:eastAsia="仿宋_GB2312" w:hint="eastAsia"/>
          <w:color w:val="000000" w:themeColor="text1"/>
          <w:sz w:val="32"/>
          <w:szCs w:val="32"/>
        </w:rPr>
        <w:t>目建设存在“未批先征”“少批多征”“以租代征”等问题，如某县政府未经批准征收土地，引发了张某某等六十五名原告提起诉讼，被人民法院判决确认违法。</w:t>
      </w:r>
      <w:r>
        <w:rPr>
          <w:rFonts w:ascii="仿宋_GB2312" w:eastAsia="仿宋_GB2312" w:hint="eastAsia"/>
          <w:b/>
          <w:color w:val="000000" w:themeColor="text1"/>
          <w:sz w:val="32"/>
          <w:szCs w:val="32"/>
        </w:rPr>
        <w:t>二是</w:t>
      </w:r>
      <w:r>
        <w:rPr>
          <w:rFonts w:ascii="仿宋_GB2312" w:eastAsia="仿宋_GB2312" w:hint="eastAsia"/>
          <w:color w:val="000000" w:themeColor="text1"/>
          <w:sz w:val="32"/>
          <w:szCs w:val="32"/>
        </w:rPr>
        <w:t>征收决定未能区分土地性质。国有土地上房屋征收和集体土地征收在程序和适用法律等方面存在明显区别，有的征收决定既涉及国有</w:t>
      </w:r>
      <w:r>
        <w:rPr>
          <w:rFonts w:ascii="仿宋_GB2312" w:eastAsia="仿宋_GB2312" w:hint="eastAsia"/>
          <w:sz w:val="32"/>
          <w:szCs w:val="32"/>
        </w:rPr>
        <w:t>土地上房屋也包括未依法征收的集体土地，明显违反法律规定。</w:t>
      </w:r>
      <w:r>
        <w:rPr>
          <w:rFonts w:ascii="仿宋_GB2312" w:eastAsia="仿宋_GB2312" w:hint="eastAsia"/>
          <w:b/>
          <w:sz w:val="32"/>
          <w:szCs w:val="32"/>
        </w:rPr>
        <w:t>三是</w:t>
      </w:r>
      <w:r>
        <w:rPr>
          <w:rFonts w:ascii="仿宋_GB2312" w:eastAsia="仿宋_GB2312" w:hint="eastAsia"/>
          <w:sz w:val="32"/>
          <w:szCs w:val="32"/>
        </w:rPr>
        <w:t>征收安</w:t>
      </w:r>
      <w:r>
        <w:rPr>
          <w:rFonts w:ascii="仿宋_GB2312" w:eastAsia="仿宋_GB2312" w:hint="eastAsia"/>
          <w:sz w:val="32"/>
          <w:szCs w:val="32"/>
        </w:rPr>
        <w:t>置补偿不合理、不到位。有的随意降低补偿标准，同地段不同补偿标准；有的未充分尊重被征收人对补偿方式的选择权。</w:t>
      </w:r>
      <w:r>
        <w:rPr>
          <w:rFonts w:ascii="仿宋_GB2312" w:eastAsia="仿宋_GB2312" w:hint="eastAsia"/>
          <w:b/>
          <w:sz w:val="32"/>
          <w:szCs w:val="32"/>
        </w:rPr>
        <w:t>四是</w:t>
      </w:r>
      <w:r>
        <w:rPr>
          <w:rFonts w:ascii="仿宋_GB2312" w:eastAsia="仿宋_GB2312" w:hint="eastAsia"/>
          <w:sz w:val="32"/>
          <w:szCs w:val="32"/>
        </w:rPr>
        <w:t>强制搬迁、拆除行为违法。有的在协商无果的情况下，未依法作出补偿决定，直接强制拆除被征收人的房屋；在被征收人不履行搬迁义务的情况下，迳行或授意其他单位拆除房屋；有的行政机</w:t>
      </w:r>
      <w:r>
        <w:rPr>
          <w:rFonts w:ascii="仿宋_GB2312" w:eastAsia="仿宋_GB2312" w:hint="eastAsia"/>
          <w:sz w:val="32"/>
          <w:szCs w:val="32"/>
        </w:rPr>
        <w:lastRenderedPageBreak/>
        <w:t>关采取拆除门窗等附属设施、断水断电等方式迫使当事人搬迁。</w:t>
      </w:r>
    </w:p>
    <w:p w:rsidR="002D273C" w:rsidRDefault="00BA7E2A">
      <w:pPr>
        <w:spacing w:line="616"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hint="eastAsia"/>
          <w:sz w:val="32"/>
          <w:szCs w:val="32"/>
        </w:rPr>
        <w:t>政务诚信方面。当前，行政机关不能兑现承诺、不能依约履行等诚信缺失问题仍然存在。主要表现在：</w:t>
      </w:r>
      <w:r>
        <w:rPr>
          <w:rFonts w:ascii="仿宋_GB2312" w:eastAsia="仿宋_GB2312" w:hint="eastAsia"/>
          <w:b/>
          <w:sz w:val="32"/>
          <w:szCs w:val="32"/>
        </w:rPr>
        <w:t>一是</w:t>
      </w:r>
      <w:r>
        <w:rPr>
          <w:rFonts w:ascii="仿宋_GB2312" w:eastAsia="仿宋_GB2312" w:hint="eastAsia"/>
          <w:sz w:val="32"/>
          <w:szCs w:val="32"/>
        </w:rPr>
        <w:t>违约毁约。特别是在招商引资领域，有的“新官不理旧账”，单方变更、解除或者不履行</w:t>
      </w:r>
      <w:r>
        <w:rPr>
          <w:rFonts w:ascii="仿宋_GB2312" w:eastAsia="仿宋_GB2312" w:hint="eastAsia"/>
          <w:sz w:val="32"/>
          <w:szCs w:val="32"/>
        </w:rPr>
        <w:t>招商引资时的行政协议，被判败诉。</w:t>
      </w:r>
      <w:r>
        <w:rPr>
          <w:rFonts w:ascii="仿宋_GB2312" w:eastAsia="仿宋_GB2312" w:hint="eastAsia"/>
          <w:sz w:val="32"/>
          <w:szCs w:val="32"/>
        </w:rPr>
        <w:t>2018</w:t>
      </w:r>
      <w:r>
        <w:rPr>
          <w:rFonts w:ascii="仿宋_GB2312" w:eastAsia="仿宋_GB2312" w:hint="eastAsia"/>
          <w:sz w:val="32"/>
          <w:szCs w:val="32"/>
        </w:rPr>
        <w:t>年共有</w:t>
      </w:r>
      <w:r>
        <w:rPr>
          <w:rFonts w:ascii="仿宋_GB2312" w:eastAsia="仿宋_GB2312" w:hint="eastAsia"/>
          <w:sz w:val="32"/>
          <w:szCs w:val="32"/>
        </w:rPr>
        <w:t>10</w:t>
      </w:r>
      <w:r>
        <w:rPr>
          <w:rFonts w:ascii="仿宋_GB2312" w:eastAsia="仿宋_GB2312" w:hint="eastAsia"/>
          <w:sz w:val="32"/>
          <w:szCs w:val="32"/>
        </w:rPr>
        <w:t>件政府招商引资违约毁约案件被判承担责任。如某县政府对某公司</w:t>
      </w:r>
      <w:r>
        <w:rPr>
          <w:rFonts w:ascii="仿宋_GB2312" w:eastAsia="仿宋_GB2312"/>
          <w:sz w:val="32"/>
          <w:szCs w:val="32"/>
        </w:rPr>
        <w:t>利用社会资金参与土地整治</w:t>
      </w:r>
      <w:r>
        <w:rPr>
          <w:rFonts w:ascii="仿宋_GB2312" w:eastAsia="仿宋_GB2312" w:hint="eastAsia"/>
          <w:sz w:val="32"/>
          <w:szCs w:val="32"/>
        </w:rPr>
        <w:t>形成的事实土地整理开发协议不予承认，并拒绝支付新增耕地指标收益，省法院二审判决该县政府补偿该公司</w:t>
      </w:r>
      <w:r>
        <w:rPr>
          <w:rFonts w:ascii="仿宋_GB2312" w:eastAsia="仿宋_GB2312" w:hint="eastAsia"/>
          <w:sz w:val="32"/>
          <w:szCs w:val="32"/>
        </w:rPr>
        <w:t>1282</w:t>
      </w:r>
      <w:r>
        <w:rPr>
          <w:rFonts w:ascii="仿宋_GB2312" w:eastAsia="仿宋_GB2312" w:hint="eastAsia"/>
          <w:sz w:val="32"/>
          <w:szCs w:val="32"/>
        </w:rPr>
        <w:t>万元。</w:t>
      </w:r>
      <w:r>
        <w:rPr>
          <w:rFonts w:ascii="仿宋_GB2312" w:eastAsia="仿宋_GB2312" w:hint="eastAsia"/>
          <w:b/>
          <w:sz w:val="32"/>
          <w:szCs w:val="32"/>
        </w:rPr>
        <w:t>二是</w:t>
      </w:r>
      <w:r>
        <w:rPr>
          <w:rFonts w:ascii="仿宋_GB2312" w:eastAsia="仿宋_GB2312" w:hint="eastAsia"/>
          <w:sz w:val="32"/>
          <w:szCs w:val="32"/>
        </w:rPr>
        <w:t>否定或者推卸责任</w:t>
      </w:r>
      <w:r>
        <w:rPr>
          <w:rFonts w:ascii="仿宋_GB2312" w:eastAsia="仿宋_GB2312" w:hint="eastAsia"/>
          <w:b/>
          <w:sz w:val="32"/>
          <w:szCs w:val="32"/>
        </w:rPr>
        <w:t>。</w:t>
      </w:r>
      <w:r>
        <w:rPr>
          <w:rFonts w:ascii="仿宋_GB2312" w:eastAsia="仿宋_GB2312" w:hint="eastAsia"/>
          <w:sz w:val="32"/>
          <w:szCs w:val="32"/>
        </w:rPr>
        <w:t>有的行政机关对自己实施的强拆行为拒不承认，或者将强拆责任推卸给村（居）委会，导致当事人因具体强拆主体不确定而提起多起诉讼。</w:t>
      </w:r>
      <w:r>
        <w:rPr>
          <w:rFonts w:ascii="仿宋_GB2312" w:eastAsia="仿宋_GB2312" w:hint="eastAsia"/>
          <w:b/>
          <w:sz w:val="32"/>
          <w:szCs w:val="32"/>
        </w:rPr>
        <w:t>三是</w:t>
      </w:r>
      <w:r>
        <w:rPr>
          <w:rFonts w:ascii="仿宋_GB2312" w:eastAsia="仿宋_GB2312" w:hint="eastAsia"/>
          <w:sz w:val="32"/>
          <w:szCs w:val="32"/>
        </w:rPr>
        <w:t>不履行社会承诺。有的向社会承诺对举报食品</w:t>
      </w:r>
      <w:r>
        <w:rPr>
          <w:rFonts w:ascii="仿宋_GB2312" w:eastAsia="仿宋_GB2312" w:hint="eastAsia"/>
          <w:color w:val="000000" w:themeColor="text1"/>
          <w:sz w:val="32"/>
          <w:szCs w:val="32"/>
        </w:rPr>
        <w:t>药品违法者给予奖励，但对一些符合条件的举报者拒绝给予奖励或者给予极少奖励；有的鼓励社会公众参与城市交通管理，允诺对拍摄并举</w:t>
      </w:r>
      <w:r>
        <w:rPr>
          <w:rFonts w:ascii="仿宋_GB2312" w:eastAsia="仿宋_GB2312" w:hint="eastAsia"/>
          <w:sz w:val="32"/>
          <w:szCs w:val="32"/>
        </w:rPr>
        <w:t>报违反交通规则的行为予以奖励，但最后以各种理由拒绝。</w:t>
      </w:r>
    </w:p>
    <w:p w:rsidR="002D273C" w:rsidRDefault="00BA7E2A">
      <w:pPr>
        <w:spacing w:line="616" w:lineRule="exact"/>
        <w:ind w:firstLineChars="200" w:firstLine="640"/>
        <w:rPr>
          <w:rFonts w:ascii="仿宋_GB2312" w:eastAsia="仿宋_GB2312"/>
          <w:color w:val="FF0000"/>
          <w:sz w:val="32"/>
          <w:szCs w:val="32"/>
        </w:rPr>
      </w:pPr>
      <w:r>
        <w:rPr>
          <w:rFonts w:ascii="仿宋_GB2312" w:eastAsia="仿宋_GB2312" w:hint="eastAsia"/>
          <w:sz w:val="32"/>
          <w:szCs w:val="32"/>
        </w:rPr>
        <w:t>3.</w:t>
      </w:r>
      <w:r>
        <w:rPr>
          <w:rFonts w:ascii="仿宋_GB2312" w:eastAsia="仿宋_GB2312" w:hint="eastAsia"/>
          <w:sz w:val="32"/>
          <w:szCs w:val="32"/>
        </w:rPr>
        <w:t>履行职责方面。近年来，当事人起诉行政机关不履行法定职责案件呈上升趋势，</w:t>
      </w:r>
      <w:r>
        <w:rPr>
          <w:rFonts w:ascii="仿宋_GB2312" w:eastAsia="仿宋_GB2312" w:hint="eastAsia"/>
          <w:sz w:val="32"/>
          <w:szCs w:val="32"/>
        </w:rPr>
        <w:t>2018</w:t>
      </w:r>
      <w:r>
        <w:rPr>
          <w:rFonts w:ascii="仿宋_GB2312" w:eastAsia="仿宋_GB2312" w:hint="eastAsia"/>
          <w:sz w:val="32"/>
          <w:szCs w:val="32"/>
        </w:rPr>
        <w:t>年该类案件同比上升了</w:t>
      </w:r>
      <w:r>
        <w:rPr>
          <w:rFonts w:ascii="仿宋_GB2312" w:eastAsia="仿宋_GB2312" w:hint="eastAsia"/>
          <w:sz w:val="32"/>
          <w:szCs w:val="32"/>
        </w:rPr>
        <w:t>48.3%</w:t>
      </w:r>
      <w:r>
        <w:rPr>
          <w:rFonts w:ascii="仿宋_GB2312" w:eastAsia="仿宋_GB2312" w:hint="eastAsia"/>
          <w:sz w:val="32"/>
          <w:szCs w:val="32"/>
        </w:rPr>
        <w:t>。其中，行政机关因不履行或者不当履行职责被判败诉的</w:t>
      </w:r>
      <w:r>
        <w:rPr>
          <w:rFonts w:ascii="仿宋_GB2312" w:eastAsia="仿宋_GB2312" w:hint="eastAsia"/>
          <w:sz w:val="32"/>
          <w:szCs w:val="32"/>
        </w:rPr>
        <w:t>411</w:t>
      </w:r>
      <w:r>
        <w:rPr>
          <w:rFonts w:ascii="仿宋_GB2312" w:eastAsia="仿宋_GB2312" w:hint="eastAsia"/>
          <w:sz w:val="32"/>
          <w:szCs w:val="32"/>
        </w:rPr>
        <w:t>件，占败诉案件总数的</w:t>
      </w:r>
      <w:r>
        <w:rPr>
          <w:rFonts w:ascii="仿宋_GB2312" w:eastAsia="仿宋_GB2312" w:hint="eastAsia"/>
          <w:sz w:val="32"/>
          <w:szCs w:val="32"/>
        </w:rPr>
        <w:t>15.3%</w:t>
      </w:r>
      <w:r>
        <w:rPr>
          <w:rFonts w:ascii="仿宋_GB2312" w:eastAsia="仿宋_GB2312" w:hint="eastAsia"/>
          <w:sz w:val="32"/>
          <w:szCs w:val="32"/>
        </w:rPr>
        <w:t>。主要表现在：</w:t>
      </w:r>
      <w:r>
        <w:rPr>
          <w:rFonts w:ascii="仿宋_GB2312" w:eastAsia="仿宋_GB2312" w:hint="eastAsia"/>
          <w:b/>
          <w:sz w:val="32"/>
          <w:szCs w:val="32"/>
        </w:rPr>
        <w:t>一是</w:t>
      </w:r>
      <w:r>
        <w:rPr>
          <w:rFonts w:ascii="仿宋_GB2312" w:eastAsia="仿宋_GB2312" w:hint="eastAsia"/>
          <w:sz w:val="32"/>
          <w:szCs w:val="32"/>
        </w:rPr>
        <w:t>怠于履行法定职责。有的回避焦点推诿履职，对要求其依据法定职责履行保护人身权、财</w:t>
      </w:r>
      <w:r>
        <w:rPr>
          <w:rFonts w:ascii="仿宋_GB2312" w:eastAsia="仿宋_GB2312" w:hint="eastAsia"/>
          <w:sz w:val="32"/>
          <w:szCs w:val="32"/>
        </w:rPr>
        <w:lastRenderedPageBreak/>
        <w:t>产权等合法权益的申请，拒绝履行或者不予答复</w:t>
      </w:r>
      <w:r>
        <w:rPr>
          <w:rFonts w:ascii="仿宋_GB2312" w:eastAsia="仿宋_GB2312" w:hint="eastAsia"/>
          <w:sz w:val="32"/>
          <w:szCs w:val="32"/>
        </w:rPr>
        <w:t>；</w:t>
      </w:r>
      <w:r>
        <w:rPr>
          <w:rFonts w:ascii="仿宋_GB2312" w:eastAsia="仿宋_GB2312" w:hint="eastAsia"/>
          <w:color w:val="000000" w:themeColor="text1"/>
          <w:sz w:val="32"/>
          <w:szCs w:val="32"/>
        </w:rPr>
        <w:t>有的因权责边界不清怠于履职，如在当事人依法申请、因保护自身合法权益的需求进行举报的情况下，拒绝或者拖延履行职责，或者未能区分申请履行职责和信访诉求，以行政相对人的申请为信访事项为由拒绝处理。</w:t>
      </w:r>
      <w:r>
        <w:rPr>
          <w:rFonts w:ascii="仿宋_GB2312" w:eastAsia="仿宋_GB2312" w:hint="eastAsia"/>
          <w:b/>
          <w:color w:val="000000" w:themeColor="text1"/>
          <w:sz w:val="32"/>
          <w:szCs w:val="32"/>
        </w:rPr>
        <w:t>二是</w:t>
      </w:r>
      <w:r>
        <w:rPr>
          <w:rFonts w:ascii="仿宋_GB2312" w:eastAsia="仿宋_GB2312" w:hint="eastAsia"/>
          <w:color w:val="000000" w:themeColor="text1"/>
          <w:sz w:val="32"/>
          <w:szCs w:val="32"/>
        </w:rPr>
        <w:t>超越职权。有的乡镇政府未区分违法建设是否位于城市、镇规划区，越权行使县级以上城乡规划主管部门责令停止建设或限期拆除的法定职责；有的街道办事处超越职权对违法建设实施强制拆除。</w:t>
      </w:r>
      <w:r>
        <w:rPr>
          <w:rFonts w:ascii="仿宋_GB2312" w:eastAsia="仿宋_GB2312" w:hint="eastAsia"/>
          <w:b/>
          <w:color w:val="000000" w:themeColor="text1"/>
          <w:sz w:val="32"/>
          <w:szCs w:val="32"/>
        </w:rPr>
        <w:t>三是</w:t>
      </w:r>
      <w:r>
        <w:rPr>
          <w:rFonts w:ascii="仿宋_GB2312" w:eastAsia="仿宋_GB2312" w:hint="eastAsia"/>
          <w:color w:val="000000" w:themeColor="text1"/>
          <w:sz w:val="32"/>
          <w:szCs w:val="32"/>
        </w:rPr>
        <w:t>履责失当。有的行政机关采取强制手段不当，或者不完全履职，如发布冻结公告后未及时消除影响，导致行政相对人损失扩大；有的没有考虑违法情节和社会危</w:t>
      </w:r>
      <w:r>
        <w:rPr>
          <w:rFonts w:ascii="仿宋_GB2312" w:eastAsia="仿宋_GB2312" w:hint="eastAsia"/>
          <w:color w:val="000000" w:themeColor="text1"/>
          <w:sz w:val="32"/>
          <w:szCs w:val="32"/>
        </w:rPr>
        <w:t>害程度即作出过重甚至顶格处罚；</w:t>
      </w:r>
      <w:r>
        <w:rPr>
          <w:rFonts w:ascii="仿宋_GB2312" w:eastAsia="仿宋_GB2312" w:hint="eastAsia"/>
          <w:sz w:val="32"/>
          <w:szCs w:val="32"/>
        </w:rPr>
        <w:t>有的对上级执法督察任务和日常执法区别对待，没有做到适度、均衡，裁量幅度不当，因过罚失当败诉。</w:t>
      </w:r>
    </w:p>
    <w:p w:rsidR="002D273C" w:rsidRDefault="00BA7E2A">
      <w:pPr>
        <w:spacing w:line="616" w:lineRule="exact"/>
        <w:ind w:firstLineChars="200" w:firstLine="640"/>
        <w:rPr>
          <w:rFonts w:ascii="仿宋_GB2312" w:eastAsia="仿宋_GB2312"/>
          <w:sz w:val="32"/>
          <w:szCs w:val="32"/>
        </w:rPr>
      </w:pPr>
      <w:r>
        <w:rPr>
          <w:rFonts w:ascii="仿宋_GB2312" w:eastAsia="仿宋_GB2312" w:hint="eastAsia"/>
          <w:sz w:val="32"/>
          <w:szCs w:val="32"/>
        </w:rPr>
        <w:t>4.</w:t>
      </w:r>
      <w:r>
        <w:rPr>
          <w:rFonts w:ascii="仿宋_GB2312" w:eastAsia="仿宋_GB2312" w:hint="eastAsia"/>
          <w:sz w:val="32"/>
          <w:szCs w:val="32"/>
        </w:rPr>
        <w:t>执法程序方面。</w:t>
      </w:r>
      <w:r>
        <w:rPr>
          <w:rFonts w:ascii="仿宋_GB2312" w:eastAsia="仿宋_GB2312" w:hint="eastAsia"/>
          <w:sz w:val="32"/>
          <w:szCs w:val="32"/>
        </w:rPr>
        <w:t>2018</w:t>
      </w:r>
      <w:r>
        <w:rPr>
          <w:rFonts w:ascii="仿宋_GB2312" w:eastAsia="仿宋_GB2312" w:hint="eastAsia"/>
          <w:sz w:val="32"/>
          <w:szCs w:val="32"/>
        </w:rPr>
        <w:t>年，因行政行为程序违法被判决撤销或确认违法的</w:t>
      </w:r>
      <w:r>
        <w:rPr>
          <w:rFonts w:ascii="仿宋_GB2312" w:eastAsia="仿宋_GB2312" w:hint="eastAsia"/>
          <w:sz w:val="32"/>
          <w:szCs w:val="32"/>
        </w:rPr>
        <w:t>1244</w:t>
      </w:r>
      <w:r>
        <w:rPr>
          <w:rFonts w:ascii="仿宋_GB2312" w:eastAsia="仿宋_GB2312" w:hint="eastAsia"/>
          <w:sz w:val="32"/>
          <w:szCs w:val="32"/>
        </w:rPr>
        <w:t>件，占败诉案件总数的</w:t>
      </w:r>
      <w:r>
        <w:rPr>
          <w:rFonts w:ascii="仿宋_GB2312" w:eastAsia="仿宋_GB2312" w:hint="eastAsia"/>
          <w:sz w:val="32"/>
          <w:szCs w:val="32"/>
        </w:rPr>
        <w:t>46.4%</w:t>
      </w:r>
      <w:r>
        <w:rPr>
          <w:rFonts w:ascii="仿宋_GB2312" w:eastAsia="仿宋_GB2312" w:hint="eastAsia"/>
          <w:sz w:val="32"/>
          <w:szCs w:val="32"/>
        </w:rPr>
        <w:t>，同比上升</w:t>
      </w:r>
      <w:r>
        <w:rPr>
          <w:rFonts w:ascii="仿宋_GB2312" w:eastAsia="仿宋_GB2312" w:hint="eastAsia"/>
          <w:sz w:val="32"/>
          <w:szCs w:val="32"/>
        </w:rPr>
        <w:t>7.4</w:t>
      </w:r>
      <w:r>
        <w:rPr>
          <w:rFonts w:ascii="仿宋_GB2312" w:eastAsia="仿宋_GB2312" w:hint="eastAsia"/>
          <w:sz w:val="32"/>
          <w:szCs w:val="32"/>
        </w:rPr>
        <w:t>个百分点。主要表现在：</w:t>
      </w:r>
      <w:r>
        <w:rPr>
          <w:rFonts w:ascii="仿宋_GB2312" w:eastAsia="仿宋_GB2312" w:hint="eastAsia"/>
          <w:b/>
          <w:sz w:val="32"/>
          <w:szCs w:val="32"/>
        </w:rPr>
        <w:t>一是</w:t>
      </w:r>
      <w:r>
        <w:rPr>
          <w:rFonts w:ascii="仿宋_GB2312" w:eastAsia="仿宋_GB2312" w:hint="eastAsia"/>
          <w:sz w:val="32"/>
          <w:szCs w:val="32"/>
        </w:rPr>
        <w:t>不遵循基本法定程序。如在行政执法中片面追求行政效率，或者以协议拆迁代替依法征收，或者未与当事人签订征收补偿协议就强拆房屋，或者“一刀切”强制关停企业，或者以内部责令取代强制拆除决定。</w:t>
      </w:r>
      <w:r>
        <w:rPr>
          <w:rFonts w:ascii="仿宋_GB2312" w:eastAsia="仿宋_GB2312" w:hint="eastAsia"/>
          <w:b/>
          <w:sz w:val="32"/>
          <w:szCs w:val="32"/>
        </w:rPr>
        <w:t>二是</w:t>
      </w:r>
      <w:r>
        <w:rPr>
          <w:rFonts w:ascii="仿宋_GB2312" w:eastAsia="仿宋_GB2312" w:hint="eastAsia"/>
          <w:sz w:val="32"/>
          <w:szCs w:val="32"/>
        </w:rPr>
        <w:t>剥夺当事人的知情权、陈述权、申辩权等法定权利。有的在作出不利行政</w:t>
      </w:r>
      <w:r>
        <w:rPr>
          <w:rFonts w:ascii="仿宋_GB2312" w:eastAsia="仿宋_GB2312" w:hint="eastAsia"/>
          <w:sz w:val="32"/>
          <w:szCs w:val="32"/>
        </w:rPr>
        <w:lastRenderedPageBreak/>
        <w:t>行为时，未告知行政相对人陈述权、申辩权或听证权，或者虽然作出了告知，但未充分保障行政相对人行使上述权利。</w:t>
      </w:r>
      <w:r>
        <w:rPr>
          <w:rFonts w:ascii="仿宋_GB2312" w:eastAsia="仿宋_GB2312" w:hint="eastAsia"/>
          <w:b/>
          <w:sz w:val="32"/>
          <w:szCs w:val="32"/>
        </w:rPr>
        <w:t>三是</w:t>
      </w:r>
      <w:r>
        <w:rPr>
          <w:rFonts w:ascii="仿宋_GB2312" w:eastAsia="仿宋_GB2312" w:hint="eastAsia"/>
          <w:sz w:val="32"/>
          <w:szCs w:val="32"/>
        </w:rPr>
        <w:t>超过法定期限履行职责。有的行政机关超过法定期限作出处罚决定，既未提供延长办案期限的证据，也不说明不计入办案期限的情形。</w:t>
      </w:r>
    </w:p>
    <w:p w:rsidR="002D273C" w:rsidRDefault="00BA7E2A">
      <w:pPr>
        <w:spacing w:line="616" w:lineRule="exact"/>
        <w:ind w:firstLineChars="200" w:firstLine="640"/>
        <w:rPr>
          <w:rFonts w:ascii="仿宋_GB2312" w:eastAsia="仿宋_GB2312"/>
          <w:color w:val="FF0000"/>
          <w:sz w:val="32"/>
          <w:szCs w:val="32"/>
        </w:rPr>
      </w:pPr>
      <w:r>
        <w:rPr>
          <w:rFonts w:ascii="仿宋_GB2312" w:eastAsia="仿宋_GB2312" w:hint="eastAsia"/>
          <w:sz w:val="32"/>
          <w:szCs w:val="32"/>
        </w:rPr>
        <w:t xml:space="preserve">5. </w:t>
      </w:r>
      <w:r>
        <w:rPr>
          <w:rFonts w:ascii="仿宋_GB2312" w:eastAsia="仿宋_GB2312" w:hint="eastAsia"/>
          <w:sz w:val="32"/>
          <w:szCs w:val="32"/>
        </w:rPr>
        <w:t>法律适用方面。</w:t>
      </w:r>
      <w:r>
        <w:rPr>
          <w:rFonts w:ascii="仿宋_GB2312" w:eastAsia="仿宋_GB2312" w:hint="eastAsia"/>
          <w:sz w:val="32"/>
          <w:szCs w:val="32"/>
        </w:rPr>
        <w:t>2018</w:t>
      </w:r>
      <w:r>
        <w:rPr>
          <w:rFonts w:ascii="仿宋_GB2312" w:eastAsia="仿宋_GB2312" w:hint="eastAsia"/>
          <w:sz w:val="32"/>
          <w:szCs w:val="32"/>
        </w:rPr>
        <w:t>年，因法律适用错误被判败诉的</w:t>
      </w:r>
      <w:r>
        <w:rPr>
          <w:rFonts w:ascii="仿宋_GB2312" w:eastAsia="仿宋_GB2312" w:hint="eastAsia"/>
          <w:sz w:val="32"/>
          <w:szCs w:val="32"/>
        </w:rPr>
        <w:t>252</w:t>
      </w:r>
      <w:r>
        <w:rPr>
          <w:rFonts w:ascii="仿宋_GB2312" w:eastAsia="仿宋_GB2312" w:hint="eastAsia"/>
          <w:sz w:val="32"/>
          <w:szCs w:val="32"/>
        </w:rPr>
        <w:t>件，占败诉总数的</w:t>
      </w:r>
      <w:r>
        <w:rPr>
          <w:rFonts w:ascii="仿宋_GB2312" w:eastAsia="仿宋_GB2312" w:hint="eastAsia"/>
          <w:sz w:val="32"/>
          <w:szCs w:val="32"/>
        </w:rPr>
        <w:t>9.4%</w:t>
      </w:r>
      <w:r>
        <w:rPr>
          <w:rFonts w:ascii="仿宋_GB2312" w:eastAsia="仿宋_GB2312" w:hint="eastAsia"/>
          <w:sz w:val="32"/>
          <w:szCs w:val="32"/>
        </w:rPr>
        <w:t>。主要表现在：</w:t>
      </w:r>
      <w:r>
        <w:rPr>
          <w:rFonts w:ascii="仿宋_GB2312" w:eastAsia="仿宋_GB2312" w:hint="eastAsia"/>
          <w:b/>
          <w:sz w:val="32"/>
          <w:szCs w:val="32"/>
        </w:rPr>
        <w:t>一是</w:t>
      </w:r>
      <w:r>
        <w:rPr>
          <w:rFonts w:ascii="仿宋_GB2312" w:eastAsia="仿宋_GB2312" w:hint="eastAsia"/>
          <w:sz w:val="32"/>
          <w:szCs w:val="32"/>
        </w:rPr>
        <w:t>未能理解法律原则和精神，导致法律适用错误。如某县人民政府在强制拆除涉案违法建设过程中</w:t>
      </w:r>
      <w:r>
        <w:rPr>
          <w:rFonts w:ascii="仿宋_GB2312" w:eastAsia="仿宋_GB2312" w:hint="eastAsia"/>
          <w:color w:val="000000" w:themeColor="text1"/>
          <w:sz w:val="32"/>
          <w:szCs w:val="32"/>
        </w:rPr>
        <w:t>，不能正确理解《城乡规划法》和《</w:t>
      </w:r>
      <w:r>
        <w:rPr>
          <w:rFonts w:ascii="仿宋_GB2312" w:eastAsia="仿宋_GB2312" w:hint="eastAsia"/>
          <w:color w:val="000000" w:themeColor="text1"/>
          <w:sz w:val="32"/>
          <w:szCs w:val="32"/>
        </w:rPr>
        <w:t>行政强制法》的相关规定，仅依照《城乡规划法》第六十八条规定作出内部批复，代替了依据《行政强制法》作出强制执行决定。</w:t>
      </w:r>
      <w:r>
        <w:rPr>
          <w:rFonts w:ascii="仿宋_GB2312" w:eastAsia="仿宋_GB2312" w:hint="eastAsia"/>
          <w:b/>
          <w:sz w:val="32"/>
          <w:szCs w:val="32"/>
        </w:rPr>
        <w:t>二是</w:t>
      </w:r>
      <w:r>
        <w:rPr>
          <w:rFonts w:ascii="仿宋_GB2312" w:eastAsia="仿宋_GB2312" w:hint="eastAsia"/>
          <w:sz w:val="32"/>
          <w:szCs w:val="32"/>
        </w:rPr>
        <w:t>未区分具体情形，错误援引法律规定。如《城乡规划法》规定对未办理建设工程规划许可证的违法建设应区分情况进行处理，有的执法机关作出限期拆除决定前未查明违法建设使用的土地性质、违法程度，错误适用《城乡规划法》规定。</w:t>
      </w:r>
      <w:r>
        <w:rPr>
          <w:rFonts w:ascii="仿宋_GB2312" w:eastAsia="仿宋_GB2312" w:hint="eastAsia"/>
          <w:b/>
          <w:sz w:val="32"/>
          <w:szCs w:val="32"/>
        </w:rPr>
        <w:t>三是</w:t>
      </w:r>
      <w:r>
        <w:rPr>
          <w:rFonts w:ascii="仿宋_GB2312" w:eastAsia="仿宋_GB2312" w:hint="eastAsia"/>
          <w:sz w:val="32"/>
          <w:szCs w:val="32"/>
        </w:rPr>
        <w:t>自由裁量权行使不当。有的行政机关未对法律规定的处罚幅度予以细化，对同类行为处理结果差异较大，适用法律不当。</w:t>
      </w:r>
    </w:p>
    <w:p w:rsidR="002D273C" w:rsidRDefault="00BA7E2A">
      <w:pPr>
        <w:spacing w:line="616" w:lineRule="exact"/>
        <w:ind w:firstLineChars="200" w:firstLine="640"/>
        <w:rPr>
          <w:rFonts w:ascii="楷体_GB2312" w:eastAsia="楷体_GB2312" w:hAnsi="楷体"/>
          <w:bCs/>
          <w:sz w:val="32"/>
          <w:szCs w:val="32"/>
        </w:rPr>
      </w:pPr>
      <w:r>
        <w:rPr>
          <w:rFonts w:ascii="楷体_GB2312" w:eastAsia="楷体_GB2312" w:hAnsi="楷体" w:hint="eastAsia"/>
          <w:bCs/>
          <w:sz w:val="32"/>
          <w:szCs w:val="32"/>
        </w:rPr>
        <w:t>（二）行政复议中存在的问题</w:t>
      </w:r>
    </w:p>
    <w:p w:rsidR="002D273C" w:rsidRDefault="00BA7E2A">
      <w:pPr>
        <w:spacing w:line="616" w:lineRule="exact"/>
        <w:ind w:firstLineChars="200" w:firstLine="640"/>
        <w:rPr>
          <w:rFonts w:ascii="仿宋_GB2312" w:eastAsia="仿宋_GB2312"/>
          <w:sz w:val="32"/>
          <w:szCs w:val="32"/>
        </w:rPr>
      </w:pPr>
      <w:r>
        <w:rPr>
          <w:rFonts w:ascii="仿宋_GB2312" w:eastAsia="仿宋_GB2312" w:hint="eastAsia"/>
          <w:sz w:val="32"/>
          <w:szCs w:val="32"/>
        </w:rPr>
        <w:t>2018</w:t>
      </w:r>
      <w:r>
        <w:rPr>
          <w:rFonts w:ascii="仿宋_GB2312" w:eastAsia="仿宋_GB2312" w:hint="eastAsia"/>
          <w:sz w:val="32"/>
          <w:szCs w:val="32"/>
        </w:rPr>
        <w:t>年，全省法院受理一审行政复议案件</w:t>
      </w:r>
      <w:r>
        <w:rPr>
          <w:rFonts w:ascii="仿宋_GB2312" w:eastAsia="仿宋_GB2312" w:hint="eastAsia"/>
          <w:sz w:val="32"/>
          <w:szCs w:val="32"/>
        </w:rPr>
        <w:t>144</w:t>
      </w:r>
      <w:r>
        <w:rPr>
          <w:rFonts w:ascii="仿宋_GB2312" w:eastAsia="仿宋_GB2312" w:hint="eastAsia"/>
          <w:sz w:val="32"/>
          <w:szCs w:val="32"/>
        </w:rPr>
        <w:t>7</w:t>
      </w:r>
      <w:r>
        <w:rPr>
          <w:rFonts w:ascii="仿宋_GB2312" w:eastAsia="仿宋_GB2312" w:hint="eastAsia"/>
          <w:sz w:val="32"/>
          <w:szCs w:val="32"/>
        </w:rPr>
        <w:t>件，其中行政机关败诉的</w:t>
      </w:r>
      <w:r>
        <w:rPr>
          <w:rFonts w:ascii="仿宋_GB2312" w:eastAsia="仿宋_GB2312" w:hint="eastAsia"/>
          <w:sz w:val="32"/>
          <w:szCs w:val="32"/>
        </w:rPr>
        <w:t>150</w:t>
      </w:r>
      <w:r>
        <w:rPr>
          <w:rFonts w:ascii="仿宋_GB2312" w:eastAsia="仿宋_GB2312" w:hint="eastAsia"/>
          <w:sz w:val="32"/>
          <w:szCs w:val="32"/>
        </w:rPr>
        <w:t>件，败诉率为</w:t>
      </w:r>
      <w:r>
        <w:rPr>
          <w:rFonts w:ascii="仿宋_GB2312" w:eastAsia="仿宋_GB2312" w:hint="eastAsia"/>
          <w:sz w:val="32"/>
          <w:szCs w:val="32"/>
        </w:rPr>
        <w:t>11%</w:t>
      </w:r>
      <w:r>
        <w:rPr>
          <w:rFonts w:ascii="仿宋_GB2312" w:eastAsia="仿宋_GB2312" w:hint="eastAsia"/>
          <w:sz w:val="32"/>
          <w:szCs w:val="32"/>
        </w:rPr>
        <w:t>。问题集中表现在：</w:t>
      </w:r>
      <w:r>
        <w:rPr>
          <w:rFonts w:ascii="仿宋_GB2312" w:eastAsia="仿宋_GB2312" w:hint="eastAsia"/>
          <w:b/>
          <w:sz w:val="32"/>
          <w:szCs w:val="32"/>
        </w:rPr>
        <w:t>一是</w:t>
      </w:r>
      <w:r>
        <w:rPr>
          <w:rFonts w:ascii="仿宋_GB2312" w:eastAsia="仿宋_GB2312" w:hint="eastAsia"/>
          <w:sz w:val="32"/>
          <w:szCs w:val="32"/>
        </w:rPr>
        <w:t>对符合法定受理条件的复议申请不予受理。此类案件共有</w:t>
      </w:r>
      <w:r>
        <w:rPr>
          <w:rFonts w:ascii="仿宋_GB2312" w:eastAsia="仿宋_GB2312" w:hint="eastAsia"/>
          <w:sz w:val="32"/>
          <w:szCs w:val="32"/>
        </w:rPr>
        <w:t>56</w:t>
      </w:r>
      <w:r>
        <w:rPr>
          <w:rFonts w:ascii="仿宋_GB2312" w:eastAsia="仿宋_GB2312" w:hint="eastAsia"/>
          <w:sz w:val="32"/>
          <w:szCs w:val="32"/>
        </w:rPr>
        <w:t>件，</w:t>
      </w:r>
      <w:r>
        <w:rPr>
          <w:rFonts w:ascii="仿宋_GB2312" w:eastAsia="仿宋_GB2312" w:hint="eastAsia"/>
          <w:sz w:val="32"/>
          <w:szCs w:val="32"/>
        </w:rPr>
        <w:lastRenderedPageBreak/>
        <w:t>占复议机关败诉案件的</w:t>
      </w:r>
      <w:r>
        <w:rPr>
          <w:rFonts w:ascii="仿宋_GB2312" w:eastAsia="仿宋_GB2312" w:hint="eastAsia"/>
          <w:sz w:val="32"/>
          <w:szCs w:val="32"/>
        </w:rPr>
        <w:t>37%</w:t>
      </w:r>
      <w:r>
        <w:rPr>
          <w:rFonts w:ascii="仿宋_GB2312" w:eastAsia="仿宋_GB2312" w:hint="eastAsia"/>
          <w:sz w:val="32"/>
          <w:szCs w:val="32"/>
        </w:rPr>
        <w:t>。如有的复议机关对申请人的申请事项不加区分，直接以信访事项为由决定不予受理。</w:t>
      </w:r>
      <w:r>
        <w:rPr>
          <w:rFonts w:ascii="仿宋_GB2312" w:eastAsia="仿宋_GB2312" w:hint="eastAsia"/>
          <w:b/>
          <w:sz w:val="32"/>
          <w:szCs w:val="32"/>
        </w:rPr>
        <w:t>二是</w:t>
      </w:r>
      <w:r>
        <w:rPr>
          <w:rFonts w:ascii="仿宋_GB2312" w:eastAsia="仿宋_GB2312" w:hint="eastAsia"/>
          <w:sz w:val="32"/>
          <w:szCs w:val="32"/>
        </w:rPr>
        <w:t>未能依法纠正原行政行为错误。复议机关因此类原因败诉</w:t>
      </w:r>
      <w:r>
        <w:rPr>
          <w:rFonts w:ascii="仿宋_GB2312" w:eastAsia="仿宋_GB2312" w:hint="eastAsia"/>
          <w:sz w:val="32"/>
          <w:szCs w:val="32"/>
        </w:rPr>
        <w:t>65</w:t>
      </w:r>
      <w:r>
        <w:rPr>
          <w:rFonts w:ascii="仿宋_GB2312" w:eastAsia="仿宋_GB2312" w:hint="eastAsia"/>
          <w:sz w:val="32"/>
          <w:szCs w:val="32"/>
        </w:rPr>
        <w:t>件，占比</w:t>
      </w:r>
      <w:r>
        <w:rPr>
          <w:rFonts w:ascii="仿宋_GB2312" w:eastAsia="仿宋_GB2312" w:hint="eastAsia"/>
          <w:sz w:val="32"/>
          <w:szCs w:val="32"/>
        </w:rPr>
        <w:t>43.3%</w:t>
      </w:r>
      <w:r>
        <w:rPr>
          <w:rFonts w:ascii="仿宋_GB2312" w:eastAsia="仿宋_GB2312" w:hint="eastAsia"/>
          <w:sz w:val="32"/>
          <w:szCs w:val="32"/>
        </w:rPr>
        <w:t>。如有的复议机关没有认真进行复议审查，只是简单维持原行政行为，对有瑕疵或违法的行政行为不撤销或者纠正，复议监督和纠错职能未能充分发挥。</w:t>
      </w:r>
      <w:r>
        <w:rPr>
          <w:rFonts w:ascii="仿宋_GB2312" w:eastAsia="仿宋_GB2312" w:hint="eastAsia"/>
          <w:b/>
          <w:sz w:val="32"/>
          <w:szCs w:val="32"/>
        </w:rPr>
        <w:t>三是</w:t>
      </w:r>
      <w:r>
        <w:rPr>
          <w:rFonts w:ascii="仿宋_GB2312" w:eastAsia="仿宋_GB2312" w:hint="eastAsia"/>
          <w:sz w:val="32"/>
          <w:szCs w:val="32"/>
        </w:rPr>
        <w:t>复议程序违法。复议机关因此类原因败诉</w:t>
      </w:r>
      <w:r>
        <w:rPr>
          <w:rFonts w:ascii="仿宋_GB2312" w:eastAsia="仿宋_GB2312" w:hint="eastAsia"/>
          <w:sz w:val="32"/>
          <w:szCs w:val="32"/>
        </w:rPr>
        <w:t>20</w:t>
      </w:r>
      <w:r>
        <w:rPr>
          <w:rFonts w:ascii="仿宋_GB2312" w:eastAsia="仿宋_GB2312" w:hint="eastAsia"/>
          <w:sz w:val="32"/>
          <w:szCs w:val="32"/>
        </w:rPr>
        <w:t>件，占比</w:t>
      </w:r>
      <w:r>
        <w:rPr>
          <w:rFonts w:ascii="仿宋_GB2312" w:eastAsia="仿宋_GB2312" w:hint="eastAsia"/>
          <w:sz w:val="32"/>
          <w:szCs w:val="32"/>
        </w:rPr>
        <w:t>13%</w:t>
      </w:r>
      <w:r>
        <w:rPr>
          <w:rFonts w:ascii="仿宋_GB2312" w:eastAsia="仿宋_GB2312" w:hint="eastAsia"/>
          <w:sz w:val="32"/>
          <w:szCs w:val="32"/>
        </w:rPr>
        <w:t>。如有的复议机</w:t>
      </w:r>
      <w:r>
        <w:rPr>
          <w:rFonts w:ascii="仿宋_GB2312" w:eastAsia="仿宋_GB2312" w:hint="eastAsia"/>
          <w:sz w:val="32"/>
          <w:szCs w:val="32"/>
        </w:rPr>
        <w:t>关收到复议申请后，在法定期限内未作出任何行为；有的复议机关未依法通知应参加复议程序的利害关系人；有的复议机关未在法定期限内作出或送达复议决定。</w:t>
      </w:r>
    </w:p>
    <w:p w:rsidR="002D273C" w:rsidRDefault="00BA7E2A">
      <w:pPr>
        <w:spacing w:line="616" w:lineRule="exact"/>
        <w:ind w:firstLineChars="200" w:firstLine="640"/>
        <w:rPr>
          <w:rFonts w:ascii="楷体_GB2312" w:eastAsia="楷体_GB2312" w:hAnsi="楷体"/>
          <w:bCs/>
          <w:sz w:val="32"/>
          <w:szCs w:val="32"/>
        </w:rPr>
      </w:pPr>
      <w:r>
        <w:rPr>
          <w:rFonts w:ascii="楷体_GB2312" w:eastAsia="楷体_GB2312" w:hAnsi="楷体" w:hint="eastAsia"/>
          <w:bCs/>
          <w:sz w:val="32"/>
          <w:szCs w:val="32"/>
        </w:rPr>
        <w:t>（三）行政应诉中存在的问题</w:t>
      </w:r>
    </w:p>
    <w:p w:rsidR="002D273C" w:rsidRDefault="00BA7E2A">
      <w:pPr>
        <w:spacing w:line="616" w:lineRule="exact"/>
        <w:ind w:firstLineChars="200" w:firstLine="640"/>
        <w:rPr>
          <w:rFonts w:ascii="楷体_GB2312" w:eastAsia="楷体_GB2312" w:hAnsi="楷体"/>
          <w:bCs/>
          <w:sz w:val="32"/>
          <w:szCs w:val="32"/>
        </w:rPr>
      </w:pPr>
      <w:r>
        <w:rPr>
          <w:rFonts w:ascii="仿宋_GB2312" w:eastAsia="仿宋_GB2312" w:hint="eastAsia"/>
          <w:sz w:val="32"/>
          <w:szCs w:val="32"/>
        </w:rPr>
        <w:t>近年来，行政机关应诉能力明显提高，但仍然存在不少问题。集中表现在</w:t>
      </w:r>
      <w:r>
        <w:rPr>
          <w:rFonts w:ascii="仿宋_GB2312" w:eastAsia="仿宋_GB2312" w:hint="eastAsia"/>
          <w:sz w:val="32"/>
          <w:szCs w:val="32"/>
        </w:rPr>
        <w:t>:</w:t>
      </w:r>
      <w:r>
        <w:rPr>
          <w:rFonts w:ascii="仿宋_GB2312" w:eastAsia="仿宋_GB2312" w:hint="eastAsia"/>
          <w:b/>
          <w:sz w:val="32"/>
          <w:szCs w:val="32"/>
        </w:rPr>
        <w:t>一是</w:t>
      </w:r>
      <w:r>
        <w:rPr>
          <w:rFonts w:ascii="仿宋_GB2312" w:eastAsia="仿宋_GB2312" w:hint="eastAsia"/>
          <w:sz w:val="32"/>
          <w:szCs w:val="32"/>
        </w:rPr>
        <w:t>行政机关负责人出庭应诉率仍然偏低。</w:t>
      </w:r>
      <w:r>
        <w:rPr>
          <w:rFonts w:ascii="仿宋_GB2312" w:eastAsia="仿宋_GB2312" w:hint="eastAsia"/>
          <w:sz w:val="32"/>
          <w:szCs w:val="32"/>
        </w:rPr>
        <w:t>2018</w:t>
      </w:r>
      <w:r>
        <w:rPr>
          <w:rFonts w:ascii="仿宋_GB2312" w:eastAsia="仿宋_GB2312" w:hint="eastAsia"/>
          <w:sz w:val="32"/>
          <w:szCs w:val="32"/>
        </w:rPr>
        <w:t>年行政机关负责人出庭应诉率虽有上升，但仍有</w:t>
      </w:r>
      <w:r>
        <w:rPr>
          <w:rFonts w:ascii="仿宋_GB2312" w:eastAsia="仿宋_GB2312" w:hint="eastAsia"/>
          <w:sz w:val="32"/>
          <w:szCs w:val="32"/>
        </w:rPr>
        <w:t>40.5%</w:t>
      </w:r>
      <w:r>
        <w:rPr>
          <w:rFonts w:ascii="仿宋_GB2312" w:eastAsia="仿宋_GB2312" w:hint="eastAsia"/>
          <w:sz w:val="32"/>
          <w:szCs w:val="32"/>
        </w:rPr>
        <w:t>的案件“告官不见官”，与兄弟省市相比存在较大差距。</w:t>
      </w:r>
      <w:r>
        <w:rPr>
          <w:rFonts w:ascii="仿宋_GB2312" w:eastAsia="仿宋_GB2312" w:hint="eastAsia"/>
          <w:b/>
          <w:sz w:val="32"/>
          <w:szCs w:val="32"/>
        </w:rPr>
        <w:t>二是</w:t>
      </w:r>
      <w:r>
        <w:rPr>
          <w:rFonts w:ascii="仿宋_GB2312" w:eastAsia="仿宋_GB2312" w:hint="eastAsia"/>
          <w:sz w:val="32"/>
          <w:szCs w:val="32"/>
        </w:rPr>
        <w:t>部分行政机关出庭应诉不符合法律规定。“出庭不出声”问题突出，有的负责人在法庭上不愿、不敢发言，不能实际参与案件庭审，出庭效果不佳；有的行政机关仅委托律师出庭应诉或无人出庭应诉，不符合行政诉讼法关于应当委托行政机关相应的工作人员出庭的规定。</w:t>
      </w:r>
      <w:r>
        <w:rPr>
          <w:rFonts w:ascii="仿宋_GB2312" w:eastAsia="仿宋_GB2312" w:hint="eastAsia"/>
          <w:b/>
          <w:sz w:val="32"/>
          <w:szCs w:val="32"/>
        </w:rPr>
        <w:t>三是</w:t>
      </w:r>
      <w:r>
        <w:rPr>
          <w:rFonts w:ascii="仿宋_GB2312" w:eastAsia="仿宋_GB2312" w:hint="eastAsia"/>
          <w:sz w:val="32"/>
          <w:szCs w:val="32"/>
        </w:rPr>
        <w:t>证据准备工作不够充分。有的既不按照法律规定的举证</w:t>
      </w:r>
      <w:r>
        <w:rPr>
          <w:rFonts w:ascii="仿宋_GB2312" w:eastAsia="仿宋_GB2312" w:hint="eastAsia"/>
          <w:sz w:val="32"/>
          <w:szCs w:val="32"/>
        </w:rPr>
        <w:lastRenderedPageBreak/>
        <w:t>期限举证，又不提出延期举证的申请，致使庭审阶段提交的证据无法被法院采信；有的不重视法庭的举证和质证环节，开庭时不携带证据原件或不能提交作出行政行为的全部证据；有的提供的证据与被诉行政行为不具有关联性，或提交的证据不能证明被</w:t>
      </w:r>
      <w:r>
        <w:rPr>
          <w:rFonts w:ascii="仿宋_GB2312" w:eastAsia="仿宋_GB2312" w:hint="eastAsia"/>
          <w:sz w:val="32"/>
          <w:szCs w:val="32"/>
        </w:rPr>
        <w:t>诉行政行为的合法性。</w:t>
      </w:r>
    </w:p>
    <w:p w:rsidR="002D273C" w:rsidRDefault="00BA7E2A">
      <w:pPr>
        <w:spacing w:line="616" w:lineRule="exact"/>
        <w:ind w:firstLineChars="200" w:firstLine="640"/>
        <w:rPr>
          <w:rFonts w:ascii="仿宋_GB2312" w:eastAsia="仿宋_GB2312"/>
          <w:sz w:val="32"/>
          <w:szCs w:val="32"/>
        </w:rPr>
      </w:pPr>
      <w:r>
        <w:rPr>
          <w:rFonts w:ascii="黑体" w:eastAsia="黑体" w:hAnsi="黑体" w:hint="eastAsia"/>
          <w:sz w:val="32"/>
          <w:szCs w:val="32"/>
        </w:rPr>
        <w:t>三、推进依法行政和应诉工作的意见建议</w:t>
      </w:r>
    </w:p>
    <w:p w:rsidR="002D273C" w:rsidRDefault="00BA7E2A">
      <w:pPr>
        <w:spacing w:line="616" w:lineRule="exact"/>
        <w:ind w:firstLineChars="200" w:firstLine="640"/>
        <w:rPr>
          <w:rFonts w:ascii="仿宋_GB2312" w:eastAsia="仿宋_GB2312"/>
          <w:sz w:val="32"/>
          <w:szCs w:val="32"/>
        </w:rPr>
      </w:pPr>
      <w:r>
        <w:rPr>
          <w:rFonts w:ascii="仿宋_GB2312" w:eastAsia="仿宋_GB2312" w:hint="eastAsia"/>
          <w:sz w:val="32"/>
          <w:szCs w:val="32"/>
        </w:rPr>
        <w:t>为进一步促进法治政府建设，针对司法审查中反映出的行政执法和行政应诉工作中的问题，提出以下建议。</w:t>
      </w:r>
    </w:p>
    <w:p w:rsidR="002D273C" w:rsidRDefault="00BA7E2A">
      <w:pPr>
        <w:spacing w:line="616" w:lineRule="exact"/>
        <w:ind w:firstLineChars="200" w:firstLine="640"/>
        <w:rPr>
          <w:rFonts w:ascii="楷体_GB2312" w:eastAsia="楷体_GB2312" w:hAnsi="黑体"/>
          <w:sz w:val="32"/>
          <w:szCs w:val="32"/>
        </w:rPr>
      </w:pPr>
      <w:r>
        <w:rPr>
          <w:rFonts w:ascii="楷体_GB2312" w:eastAsia="楷体_GB2312" w:hAnsi="黑体" w:hint="eastAsia"/>
          <w:sz w:val="32"/>
          <w:szCs w:val="32"/>
        </w:rPr>
        <w:t>（一）切实加强行政执法规范化建设</w:t>
      </w:r>
    </w:p>
    <w:p w:rsidR="002D273C" w:rsidRDefault="00BA7E2A">
      <w:pPr>
        <w:spacing w:line="616" w:lineRule="exact"/>
        <w:ind w:firstLineChars="200" w:firstLine="643"/>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sz w:val="32"/>
          <w:szCs w:val="32"/>
        </w:rPr>
        <w:t>强化依法行政理念。坚持运用法律思维和法治方式开展工作，将依法行政理念贯穿于行政管理的各个环节和行政执法的各个方面，加快推进政府机构、职能、权限、程序、责任法定化，将行政立法、行政决策和行政执法等全面纳入法治轨道，做到行政执法于法有据、依法行使、受法制约。</w:t>
      </w:r>
      <w:r>
        <w:rPr>
          <w:rFonts w:ascii="仿宋_GB2312" w:eastAsia="仿宋_GB2312" w:hint="eastAsia"/>
          <w:b/>
          <w:sz w:val="32"/>
          <w:szCs w:val="32"/>
        </w:rPr>
        <w:t>二是</w:t>
      </w:r>
      <w:r>
        <w:rPr>
          <w:rFonts w:ascii="仿宋_GB2312" w:eastAsia="仿宋_GB2312" w:hint="eastAsia"/>
          <w:sz w:val="32"/>
          <w:szCs w:val="32"/>
        </w:rPr>
        <w:t>规范重点领域行政执法。对于存在问题较多的征收拆迁、拆违拆临、</w:t>
      </w:r>
      <w:r>
        <w:rPr>
          <w:rFonts w:ascii="仿宋_GB2312" w:eastAsia="仿宋_GB2312" w:hint="eastAsia"/>
          <w:sz w:val="32"/>
          <w:szCs w:val="32"/>
        </w:rPr>
        <w:t>环保督查等执法领域，要提前做好法制审核和风险评估，严格遵守《土地管理法》、《城乡规划法》和《行政强制法》等有关法律规定，杜绝突击性执法、选择性执法和随意性执法。要把执法公正与执法目的、执法形式有机统一起来，具体行政执法应当采取必要、适当的执法措施，选择最有利于保护当事人合法权益的手段，保持行政执</w:t>
      </w:r>
      <w:r>
        <w:rPr>
          <w:rFonts w:ascii="仿宋_GB2312" w:eastAsia="仿宋_GB2312" w:hint="eastAsia"/>
          <w:sz w:val="32"/>
          <w:szCs w:val="32"/>
        </w:rPr>
        <w:lastRenderedPageBreak/>
        <w:t>法的最大善意。</w:t>
      </w:r>
      <w:r>
        <w:rPr>
          <w:rFonts w:ascii="仿宋_GB2312" w:eastAsia="仿宋_GB2312" w:hint="eastAsia"/>
          <w:b/>
          <w:sz w:val="32"/>
          <w:szCs w:val="32"/>
        </w:rPr>
        <w:t>三是</w:t>
      </w:r>
      <w:r>
        <w:rPr>
          <w:rFonts w:ascii="仿宋_GB2312" w:eastAsia="仿宋_GB2312" w:hint="eastAsia"/>
          <w:sz w:val="32"/>
          <w:szCs w:val="32"/>
        </w:rPr>
        <w:t>全面推行行政执法公示公开。认真落实《山东省全面推行行政执法公示制度执法全过程记录制度重大执法决定法制审核制度实施方案》，以行政处罚、行政强制、行政检查、行政征收、行政许可等执法行为为重点，推动行政权</w:t>
      </w:r>
      <w:r>
        <w:rPr>
          <w:rFonts w:ascii="仿宋_GB2312" w:eastAsia="仿宋_GB2312" w:hint="eastAsia"/>
          <w:sz w:val="32"/>
          <w:szCs w:val="32"/>
        </w:rPr>
        <w:t>力全过程公开、公共服务全流程公开、社会关切全方位回应，让行政执法在阳光下运行。</w:t>
      </w:r>
      <w:r>
        <w:rPr>
          <w:rFonts w:ascii="仿宋_GB2312" w:eastAsia="仿宋_GB2312" w:hint="eastAsia"/>
          <w:b/>
          <w:sz w:val="32"/>
          <w:szCs w:val="32"/>
        </w:rPr>
        <w:t>四是</w:t>
      </w:r>
      <w:r>
        <w:rPr>
          <w:rFonts w:ascii="仿宋_GB2312" w:eastAsia="仿宋_GB2312" w:hint="eastAsia"/>
          <w:sz w:val="32"/>
          <w:szCs w:val="32"/>
        </w:rPr>
        <w:t>强化行政复议的内部纠错功能。积极畅通行政复议渠道，规范复议案件办理，既重视对行政行为的合法性审查，又重视对行政行为的适当性审查，不断加大行政复议的层级监督力度，有效化解行政争议。</w:t>
      </w:r>
    </w:p>
    <w:p w:rsidR="002D273C" w:rsidRDefault="00BA7E2A">
      <w:pPr>
        <w:spacing w:line="616" w:lineRule="exact"/>
        <w:ind w:firstLineChars="200" w:firstLine="640"/>
        <w:rPr>
          <w:rFonts w:ascii="楷体_GB2312" w:eastAsia="楷体_GB2312"/>
          <w:sz w:val="32"/>
          <w:szCs w:val="32"/>
        </w:rPr>
      </w:pPr>
      <w:r>
        <w:rPr>
          <w:rFonts w:ascii="楷体_GB2312" w:eastAsia="楷体_GB2312" w:hint="eastAsia"/>
          <w:sz w:val="32"/>
          <w:szCs w:val="32"/>
        </w:rPr>
        <w:t>（二）切实加强政务诚信建设</w:t>
      </w:r>
    </w:p>
    <w:p w:rsidR="002D273C" w:rsidRDefault="00BA7E2A">
      <w:pPr>
        <w:spacing w:line="614" w:lineRule="exact"/>
        <w:ind w:firstLineChars="200" w:firstLine="643"/>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sz w:val="32"/>
          <w:szCs w:val="32"/>
        </w:rPr>
        <w:t>完善政府守信践诺机制。各级政府及有关部门要严格兑现向社会及行政相对人依法作出的政策承诺</w:t>
      </w:r>
      <w:r>
        <w:rPr>
          <w:rFonts w:ascii="仿宋_GB2312" w:eastAsia="仿宋_GB2312" w:hint="eastAsia"/>
          <w:sz w:val="32"/>
          <w:szCs w:val="32"/>
        </w:rPr>
        <w:t>,</w:t>
      </w:r>
      <w:r>
        <w:rPr>
          <w:rFonts w:ascii="仿宋_GB2312" w:eastAsia="仿宋_GB2312" w:hint="eastAsia"/>
          <w:sz w:val="32"/>
          <w:szCs w:val="32"/>
        </w:rPr>
        <w:t>认真履行在招商引资、政府与社会资本合作等活动中与投资主体依法签订的各类合同</w:t>
      </w:r>
      <w:r>
        <w:rPr>
          <w:rFonts w:ascii="仿宋_GB2312" w:eastAsia="仿宋_GB2312" w:hint="eastAsia"/>
          <w:sz w:val="32"/>
          <w:szCs w:val="32"/>
        </w:rPr>
        <w:t>,</w:t>
      </w:r>
      <w:r>
        <w:rPr>
          <w:rFonts w:ascii="仿宋_GB2312" w:eastAsia="仿宋_GB2312" w:hint="eastAsia"/>
          <w:sz w:val="32"/>
          <w:szCs w:val="32"/>
        </w:rPr>
        <w:t>不得以政府换届、领导人员更替等理由违约毁约。将政务履约</w:t>
      </w:r>
      <w:r>
        <w:rPr>
          <w:rFonts w:ascii="仿宋_GB2312" w:eastAsia="仿宋_GB2312" w:hint="eastAsia"/>
          <w:sz w:val="32"/>
          <w:szCs w:val="32"/>
        </w:rPr>
        <w:t>和守诺服务纳入政府绩效评价体系</w:t>
      </w:r>
      <w:r>
        <w:rPr>
          <w:rFonts w:ascii="仿宋_GB2312" w:eastAsia="仿宋_GB2312" w:hint="eastAsia"/>
          <w:sz w:val="32"/>
          <w:szCs w:val="32"/>
        </w:rPr>
        <w:t>,</w:t>
      </w:r>
      <w:r>
        <w:rPr>
          <w:rFonts w:ascii="仿宋_GB2312" w:eastAsia="仿宋_GB2312" w:hint="eastAsia"/>
          <w:sz w:val="32"/>
          <w:szCs w:val="32"/>
        </w:rPr>
        <w:t>建立政务失信记录</w:t>
      </w:r>
      <w:r>
        <w:rPr>
          <w:rFonts w:ascii="仿宋_GB2312" w:eastAsia="仿宋_GB2312" w:hint="eastAsia"/>
          <w:sz w:val="32"/>
          <w:szCs w:val="32"/>
        </w:rPr>
        <w:t>,</w:t>
      </w:r>
      <w:r>
        <w:rPr>
          <w:rFonts w:ascii="仿宋_GB2312" w:eastAsia="仿宋_GB2312" w:hint="eastAsia"/>
          <w:sz w:val="32"/>
          <w:szCs w:val="32"/>
        </w:rPr>
        <w:t>健全政府失信责任追究制度及责任倒查机制</w:t>
      </w:r>
      <w:r>
        <w:rPr>
          <w:rFonts w:ascii="仿宋_GB2312" w:eastAsia="仿宋_GB2312" w:hint="eastAsia"/>
          <w:sz w:val="32"/>
          <w:szCs w:val="32"/>
        </w:rPr>
        <w:t>,</w:t>
      </w:r>
      <w:r>
        <w:rPr>
          <w:rFonts w:ascii="仿宋_GB2312" w:eastAsia="仿宋_GB2312" w:hint="eastAsia"/>
          <w:sz w:val="32"/>
          <w:szCs w:val="32"/>
        </w:rPr>
        <w:t>加大对政务失信行为惩戒力度，积极打造责任政府、诚信政府。</w:t>
      </w:r>
      <w:r>
        <w:rPr>
          <w:rFonts w:ascii="仿宋_GB2312" w:eastAsia="仿宋_GB2312" w:hint="eastAsia"/>
          <w:b/>
          <w:sz w:val="32"/>
          <w:szCs w:val="32"/>
        </w:rPr>
        <w:t>二是</w:t>
      </w:r>
      <w:r>
        <w:rPr>
          <w:rFonts w:ascii="仿宋_GB2312" w:eastAsia="仿宋_GB2312" w:hint="eastAsia"/>
          <w:sz w:val="32"/>
          <w:szCs w:val="32"/>
        </w:rPr>
        <w:t>切实加强产权保护。全面落实保护产权的各项制度，开展政府规章和规范性文件专项清理</w:t>
      </w:r>
      <w:r>
        <w:rPr>
          <w:rFonts w:ascii="仿宋_GB2312" w:eastAsia="仿宋_GB2312" w:hint="eastAsia"/>
          <w:sz w:val="32"/>
          <w:szCs w:val="32"/>
        </w:rPr>
        <w:t xml:space="preserve">, </w:t>
      </w:r>
      <w:r>
        <w:rPr>
          <w:rFonts w:ascii="仿宋_GB2312" w:eastAsia="仿宋_GB2312" w:hint="eastAsia"/>
          <w:sz w:val="32"/>
          <w:szCs w:val="32"/>
        </w:rPr>
        <w:t>废除对非公有制经济的不合理规定</w:t>
      </w:r>
      <w:r>
        <w:rPr>
          <w:rFonts w:ascii="仿宋_GB2312" w:eastAsia="仿宋_GB2312" w:hint="eastAsia"/>
          <w:sz w:val="32"/>
          <w:szCs w:val="32"/>
        </w:rPr>
        <w:t>,</w:t>
      </w:r>
      <w:r>
        <w:rPr>
          <w:rFonts w:ascii="仿宋_GB2312" w:eastAsia="仿宋_GB2312" w:hint="eastAsia"/>
          <w:sz w:val="32"/>
          <w:szCs w:val="32"/>
        </w:rPr>
        <w:t>消除各种隐性壁垒。严格执行土地、房屋等财产征收征用法律规定</w:t>
      </w:r>
      <w:r>
        <w:rPr>
          <w:rFonts w:ascii="仿宋_GB2312" w:eastAsia="仿宋_GB2312" w:hint="eastAsia"/>
          <w:sz w:val="32"/>
          <w:szCs w:val="32"/>
        </w:rPr>
        <w:t>,</w:t>
      </w:r>
      <w:r>
        <w:rPr>
          <w:rFonts w:ascii="仿宋_GB2312" w:eastAsia="仿宋_GB2312" w:hint="eastAsia"/>
          <w:sz w:val="32"/>
          <w:szCs w:val="32"/>
        </w:rPr>
        <w:t>合理界定征收征用适用公共利益范围</w:t>
      </w:r>
      <w:r>
        <w:rPr>
          <w:rFonts w:ascii="仿宋_GB2312" w:eastAsia="仿宋_GB2312" w:hint="eastAsia"/>
          <w:sz w:val="32"/>
          <w:szCs w:val="32"/>
        </w:rPr>
        <w:t xml:space="preserve">, </w:t>
      </w:r>
      <w:r>
        <w:rPr>
          <w:rFonts w:ascii="仿宋_GB2312" w:eastAsia="仿宋_GB2312" w:hint="eastAsia"/>
          <w:sz w:val="32"/>
          <w:szCs w:val="32"/>
        </w:rPr>
        <w:t>坚持补偿标准与经济发展相匹配，给予被</w:t>
      </w:r>
      <w:r>
        <w:rPr>
          <w:rFonts w:ascii="仿宋_GB2312" w:eastAsia="仿宋_GB2312" w:hint="eastAsia"/>
          <w:sz w:val="32"/>
          <w:szCs w:val="32"/>
        </w:rPr>
        <w:lastRenderedPageBreak/>
        <w:t>征收者公平合理补偿。</w:t>
      </w:r>
      <w:r>
        <w:rPr>
          <w:rFonts w:ascii="仿宋_GB2312" w:eastAsia="仿宋_GB2312" w:hint="eastAsia"/>
          <w:b/>
          <w:sz w:val="32"/>
          <w:szCs w:val="32"/>
        </w:rPr>
        <w:t>三是</w:t>
      </w:r>
      <w:r>
        <w:rPr>
          <w:rFonts w:ascii="仿宋_GB2312" w:eastAsia="仿宋_GB2312" w:hint="eastAsia"/>
          <w:sz w:val="32"/>
          <w:szCs w:val="32"/>
        </w:rPr>
        <w:t>注重信赖利益保护。严格依约履行土地征收补偿、国有土地使用权出让、政府与社会资本合作等各类协议</w:t>
      </w:r>
      <w:r>
        <w:rPr>
          <w:rFonts w:ascii="仿宋_GB2312" w:eastAsia="仿宋_GB2312" w:hint="eastAsia"/>
          <w:sz w:val="32"/>
          <w:szCs w:val="32"/>
        </w:rPr>
        <w:t>，因国家利益、公共利益或者其他法定事由需要改变政府承诺和合同约定、单方解除协议时，要审慎行使行政优益权，并对企业和投资人因此造成的财产损失依法予以补偿。</w:t>
      </w:r>
    </w:p>
    <w:p w:rsidR="002D273C" w:rsidRDefault="00BA7E2A">
      <w:pPr>
        <w:spacing w:line="614" w:lineRule="exact"/>
        <w:ind w:firstLineChars="200" w:firstLine="640"/>
        <w:rPr>
          <w:rFonts w:ascii="楷体_GB2312" w:eastAsia="楷体_GB2312"/>
          <w:sz w:val="32"/>
          <w:szCs w:val="32"/>
        </w:rPr>
      </w:pPr>
      <w:r>
        <w:rPr>
          <w:rFonts w:ascii="楷体_GB2312" w:eastAsia="楷体_GB2312" w:hint="eastAsia"/>
          <w:sz w:val="32"/>
          <w:szCs w:val="32"/>
        </w:rPr>
        <w:t>（三）切实加强行政争议审前和解机制建设</w:t>
      </w:r>
    </w:p>
    <w:p w:rsidR="002D273C" w:rsidRDefault="00BA7E2A">
      <w:pPr>
        <w:spacing w:line="614" w:lineRule="exact"/>
        <w:ind w:firstLineChars="200" w:firstLine="640"/>
        <w:rPr>
          <w:rFonts w:ascii="仿宋_GB2312" w:eastAsia="仿宋_GB2312"/>
          <w:sz w:val="32"/>
          <w:szCs w:val="32"/>
        </w:rPr>
      </w:pPr>
      <w:r>
        <w:rPr>
          <w:rFonts w:ascii="仿宋_GB2312" w:eastAsia="仿宋_GB2312" w:hint="eastAsia"/>
          <w:sz w:val="32"/>
          <w:szCs w:val="32"/>
        </w:rPr>
        <w:t>去年下半年以来，在各级法院的推动下，我省部分县市区党委政府探索建立了行政争议审前和解机制，专门设立“行政争议审前和解中心”，协调处理裁判难以解决、涉及面大的行政争议。目前，全省已经挂牌设立了</w:t>
      </w:r>
      <w:r>
        <w:rPr>
          <w:rFonts w:ascii="仿宋_GB2312" w:eastAsia="仿宋_GB2312" w:hint="eastAsia"/>
          <w:sz w:val="32"/>
          <w:szCs w:val="32"/>
        </w:rPr>
        <w:t>79</w:t>
      </w:r>
      <w:r>
        <w:rPr>
          <w:rFonts w:ascii="仿宋_GB2312" w:eastAsia="仿宋_GB2312" w:hint="eastAsia"/>
          <w:sz w:val="32"/>
          <w:szCs w:val="32"/>
        </w:rPr>
        <w:t>家“行政争议审前和解中心”，济南、青岛、淄博</w:t>
      </w:r>
      <w:r>
        <w:rPr>
          <w:rFonts w:ascii="仿宋_GB2312" w:eastAsia="仿宋_GB2312" w:hint="eastAsia"/>
          <w:sz w:val="32"/>
          <w:szCs w:val="32"/>
        </w:rPr>
        <w:t>3</w:t>
      </w:r>
      <w:r>
        <w:rPr>
          <w:rFonts w:ascii="仿宋_GB2312" w:eastAsia="仿宋_GB2312" w:hint="eastAsia"/>
          <w:sz w:val="32"/>
          <w:szCs w:val="32"/>
        </w:rPr>
        <w:t>市还实现了两级全覆盖，近千件复杂案件得到圆满解决。建立行政争议审前和解机制是从</w:t>
      </w:r>
      <w:r>
        <w:rPr>
          <w:rFonts w:ascii="仿宋_GB2312" w:eastAsia="仿宋_GB2312" w:hint="eastAsia"/>
          <w:sz w:val="32"/>
          <w:szCs w:val="32"/>
        </w:rPr>
        <w:t>实质上解决行政争议、切实维护人民群众合法权益的有效途径，是促进司法与行政良性互动、加强法治政府建设的重要平台，建议今年在全省推广建立这一机制。</w:t>
      </w:r>
      <w:r>
        <w:rPr>
          <w:rFonts w:ascii="仿宋_GB2312" w:eastAsia="仿宋_GB2312" w:hint="eastAsia"/>
          <w:b/>
          <w:sz w:val="32"/>
          <w:szCs w:val="32"/>
        </w:rPr>
        <w:t>一是</w:t>
      </w:r>
      <w:r>
        <w:rPr>
          <w:rFonts w:ascii="仿宋_GB2312" w:eastAsia="仿宋_GB2312" w:hint="eastAsia"/>
          <w:sz w:val="32"/>
          <w:szCs w:val="32"/>
        </w:rPr>
        <w:t>按照政府主导、法院指导、多方参与的原则，年底前市县两级全部建成“行政争议审前和解中心”。</w:t>
      </w:r>
      <w:r>
        <w:rPr>
          <w:rFonts w:ascii="仿宋_GB2312" w:eastAsia="仿宋_GB2312" w:hint="eastAsia"/>
          <w:b/>
          <w:sz w:val="32"/>
          <w:szCs w:val="32"/>
        </w:rPr>
        <w:t>二是</w:t>
      </w:r>
      <w:r>
        <w:rPr>
          <w:rFonts w:ascii="仿宋_GB2312" w:eastAsia="仿宋_GB2312" w:hint="eastAsia"/>
          <w:sz w:val="32"/>
          <w:szCs w:val="32"/>
        </w:rPr>
        <w:t>完善工作机制，进一步明确和解案件范围，规范和解工作流程，建立和解员名册、绩效考核、经费保障等制度。</w:t>
      </w:r>
      <w:r>
        <w:rPr>
          <w:rFonts w:ascii="仿宋_GB2312" w:eastAsia="仿宋_GB2312" w:hint="eastAsia"/>
          <w:b/>
          <w:sz w:val="32"/>
          <w:szCs w:val="32"/>
        </w:rPr>
        <w:t>三是</w:t>
      </w:r>
      <w:r>
        <w:rPr>
          <w:rFonts w:ascii="仿宋_GB2312" w:eastAsia="仿宋_GB2312" w:hint="eastAsia"/>
          <w:sz w:val="32"/>
          <w:szCs w:val="32"/>
        </w:rPr>
        <w:t>在总结经验做法的基础上，适时召开全省性经验交流会，在全省全面推开这项工作。</w:t>
      </w:r>
    </w:p>
    <w:p w:rsidR="002D273C" w:rsidRDefault="00BA7E2A">
      <w:pPr>
        <w:spacing w:line="614" w:lineRule="exact"/>
        <w:ind w:firstLineChars="200" w:firstLine="640"/>
        <w:rPr>
          <w:rFonts w:ascii="楷体_GB2312" w:eastAsia="楷体_GB2312"/>
          <w:sz w:val="32"/>
          <w:szCs w:val="32"/>
        </w:rPr>
      </w:pPr>
      <w:r>
        <w:rPr>
          <w:rFonts w:ascii="楷体_GB2312" w:eastAsia="楷体_GB2312" w:hint="eastAsia"/>
          <w:sz w:val="32"/>
          <w:szCs w:val="32"/>
        </w:rPr>
        <w:t>（四）切实加强行政机关应诉能力建设</w:t>
      </w:r>
    </w:p>
    <w:p w:rsidR="002D273C" w:rsidRDefault="00BA7E2A">
      <w:pPr>
        <w:spacing w:line="614" w:lineRule="exact"/>
        <w:ind w:firstLineChars="200" w:firstLine="643"/>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sz w:val="32"/>
          <w:szCs w:val="32"/>
        </w:rPr>
        <w:t>严格履行行政机关负责人出庭应诉法定职责。建议政府</w:t>
      </w:r>
      <w:r>
        <w:rPr>
          <w:rFonts w:ascii="仿宋_GB2312" w:eastAsia="仿宋_GB2312" w:hint="eastAsia"/>
          <w:sz w:val="32"/>
          <w:szCs w:val="32"/>
        </w:rPr>
        <w:lastRenderedPageBreak/>
        <w:t>主要负责</w:t>
      </w:r>
      <w:r>
        <w:rPr>
          <w:rFonts w:ascii="仿宋_GB2312" w:eastAsia="仿宋_GB2312" w:hint="eastAsia"/>
          <w:sz w:val="32"/>
          <w:szCs w:val="32"/>
        </w:rPr>
        <w:t>人带头出庭应诉，其他行政机关主要负责人对涉及本单位的案件每年出庭应诉不少于一次。对于涉及重大公共利益、社会高度关注或者可能引发群体性事件等案件以及人民法院书面建议行政机关负责人出庭应诉的案件，行政机关负责人必须出庭，力争今年全省行政机关负责人出庭应诉率达到</w:t>
      </w:r>
      <w:r>
        <w:rPr>
          <w:rFonts w:ascii="仿宋_GB2312" w:eastAsia="仿宋_GB2312" w:hint="eastAsia"/>
          <w:sz w:val="32"/>
          <w:szCs w:val="32"/>
        </w:rPr>
        <w:t>80%</w:t>
      </w:r>
      <w:r>
        <w:rPr>
          <w:rFonts w:ascii="仿宋_GB2312" w:eastAsia="仿宋_GB2312" w:hint="eastAsia"/>
          <w:sz w:val="32"/>
          <w:szCs w:val="32"/>
        </w:rPr>
        <w:t>以上。</w:t>
      </w:r>
      <w:r>
        <w:rPr>
          <w:rFonts w:ascii="仿宋_GB2312" w:eastAsia="仿宋_GB2312" w:hint="eastAsia"/>
          <w:b/>
          <w:sz w:val="32"/>
          <w:szCs w:val="32"/>
        </w:rPr>
        <w:t>二是</w:t>
      </w:r>
      <w:r>
        <w:rPr>
          <w:rFonts w:ascii="仿宋_GB2312" w:eastAsia="仿宋_GB2312" w:hint="eastAsia"/>
          <w:sz w:val="32"/>
          <w:szCs w:val="32"/>
        </w:rPr>
        <w:t>着力提升行政应诉水平。各级政府及行政机关要配齐配强行政应诉工作人员，充分发挥政府法律顾问和公职律师作用，确保行政应诉力量与工作任务相适应。加强行政应诉工作培训，定期组织行政机关负责人和执法人员、应诉人员旁听庭审、开展案例研讨等活动，提升答辩</w:t>
      </w:r>
      <w:r>
        <w:rPr>
          <w:rFonts w:ascii="仿宋_GB2312" w:eastAsia="仿宋_GB2312" w:hint="eastAsia"/>
          <w:sz w:val="32"/>
          <w:szCs w:val="32"/>
        </w:rPr>
        <w:t>、举证、质证等应诉能力。</w:t>
      </w:r>
      <w:r>
        <w:rPr>
          <w:rFonts w:ascii="仿宋_GB2312" w:eastAsia="仿宋_GB2312" w:hint="eastAsia"/>
          <w:b/>
          <w:sz w:val="32"/>
          <w:szCs w:val="32"/>
        </w:rPr>
        <w:t>三是</w:t>
      </w:r>
      <w:r>
        <w:rPr>
          <w:rFonts w:ascii="仿宋_GB2312" w:eastAsia="仿宋_GB2312" w:hint="eastAsia"/>
          <w:sz w:val="32"/>
          <w:szCs w:val="32"/>
        </w:rPr>
        <w:t>完善行政应诉考核评价机制。建议将行政应诉工作情况纳入依法行政绩效考核评价体系，作为法治政府建设与责任落实督察的重要内容，定期考核通报，加强督促检查，并将有关情况作为对行政机关及其领导人员考核评价的重要参考或者监督问责的重要依据。</w:t>
      </w:r>
    </w:p>
    <w:p w:rsidR="002D273C" w:rsidRDefault="00BA7E2A">
      <w:pPr>
        <w:spacing w:line="616" w:lineRule="exact"/>
        <w:ind w:firstLineChars="200" w:firstLine="640"/>
        <w:rPr>
          <w:rFonts w:ascii="楷体_GB2312" w:eastAsia="楷体_GB2312"/>
          <w:sz w:val="32"/>
          <w:szCs w:val="32"/>
        </w:rPr>
      </w:pPr>
      <w:r>
        <w:rPr>
          <w:rFonts w:ascii="楷体_GB2312" w:eastAsia="楷体_GB2312" w:hint="eastAsia"/>
          <w:sz w:val="32"/>
          <w:szCs w:val="32"/>
        </w:rPr>
        <w:t>（五）切实加强执法与司法良性互动机制建设</w:t>
      </w:r>
    </w:p>
    <w:p w:rsidR="002D273C" w:rsidRDefault="00BA7E2A">
      <w:pPr>
        <w:spacing w:line="616" w:lineRule="exact"/>
        <w:ind w:firstLineChars="200" w:firstLine="643"/>
        <w:rPr>
          <w:rFonts w:ascii="仿宋_GB2312" w:eastAsia="仿宋_GB2312"/>
          <w:sz w:val="32"/>
          <w:szCs w:val="32"/>
        </w:rPr>
      </w:pPr>
      <w:r>
        <w:rPr>
          <w:rFonts w:ascii="仿宋_GB2312" w:eastAsia="仿宋_GB2312" w:hint="eastAsia"/>
          <w:b/>
          <w:sz w:val="32"/>
          <w:szCs w:val="32"/>
        </w:rPr>
        <w:t>一是</w:t>
      </w:r>
      <w:r>
        <w:rPr>
          <w:rFonts w:ascii="仿宋_GB2312" w:eastAsia="仿宋_GB2312" w:hint="eastAsia"/>
          <w:sz w:val="32"/>
          <w:szCs w:val="32"/>
        </w:rPr>
        <w:t>完善常态化联席会议制度。定期通报交流行政执法、行政复议和行政诉讼工作情况，共同研究容易形成争议的普遍性、苗头性等热点难点问题，统一执法和裁判尺度，有效预防和化解行政争议。</w:t>
      </w:r>
      <w:r>
        <w:rPr>
          <w:rFonts w:ascii="仿宋_GB2312" w:eastAsia="仿宋_GB2312" w:hint="eastAsia"/>
          <w:b/>
          <w:sz w:val="32"/>
          <w:szCs w:val="32"/>
        </w:rPr>
        <w:t>二是</w:t>
      </w:r>
      <w:r>
        <w:rPr>
          <w:rFonts w:ascii="仿宋_GB2312" w:eastAsia="仿宋_GB2312" w:hint="eastAsia"/>
          <w:sz w:val="32"/>
          <w:szCs w:val="32"/>
        </w:rPr>
        <w:t>建立律师参与行政诉讼工作机制。建议</w:t>
      </w:r>
      <w:r>
        <w:rPr>
          <w:rFonts w:ascii="仿宋_GB2312" w:eastAsia="仿宋_GB2312" w:hint="eastAsia"/>
          <w:sz w:val="32"/>
          <w:szCs w:val="32"/>
        </w:rPr>
        <w:t>司法行政部门和律师协会研究制定相关措施办法，鼓励律师代理原告参加行政诉讼，参与行政争议审前和解机制建设，充分发挥律师化解</w:t>
      </w:r>
      <w:r>
        <w:rPr>
          <w:rFonts w:ascii="仿宋_GB2312" w:eastAsia="仿宋_GB2312" w:hint="eastAsia"/>
          <w:sz w:val="32"/>
          <w:szCs w:val="32"/>
        </w:rPr>
        <w:lastRenderedPageBreak/>
        <w:t>行政争议的积极作用。</w:t>
      </w:r>
      <w:r>
        <w:rPr>
          <w:rFonts w:ascii="仿宋_GB2312" w:eastAsia="仿宋_GB2312" w:hint="eastAsia"/>
          <w:b/>
          <w:sz w:val="32"/>
          <w:szCs w:val="32"/>
        </w:rPr>
        <w:t>三是</w:t>
      </w:r>
      <w:r>
        <w:rPr>
          <w:rFonts w:ascii="仿宋_GB2312" w:eastAsia="仿宋_GB2312" w:hint="eastAsia"/>
          <w:sz w:val="32"/>
          <w:szCs w:val="32"/>
        </w:rPr>
        <w:t>健全司法建议反馈机制。高度重视司法建议办理、反馈工作，认真研究整改司法建议提出的问题，及时逐件向人民法院反馈处理方案或者处理结果。</w:t>
      </w:r>
      <w:r>
        <w:rPr>
          <w:rFonts w:ascii="仿宋_GB2312" w:eastAsia="仿宋_GB2312" w:hint="eastAsia"/>
          <w:b/>
          <w:sz w:val="32"/>
          <w:szCs w:val="32"/>
        </w:rPr>
        <w:t>四是</w:t>
      </w:r>
      <w:r>
        <w:rPr>
          <w:rFonts w:ascii="仿宋_GB2312" w:eastAsia="仿宋_GB2312" w:hint="eastAsia"/>
          <w:sz w:val="32"/>
          <w:szCs w:val="32"/>
        </w:rPr>
        <w:t>构建“大数据”信息共享机制，依托互联网技术和“大数据”应用平台，积极探索“大数据”在行政执法、行政复议和行政审判中的深度应用，打通信息壁垒，提高办案效能，为人民群众提供更加便捷高效的服务。</w:t>
      </w:r>
    </w:p>
    <w:p w:rsidR="002D273C" w:rsidRDefault="002D273C">
      <w:pPr>
        <w:spacing w:line="616" w:lineRule="exact"/>
      </w:pPr>
    </w:p>
    <w:sectPr w:rsidR="002D273C" w:rsidSect="002D273C">
      <w:footerReference w:type="default" r:id="rId16"/>
      <w:pgSz w:w="11906" w:h="16838"/>
      <w:pgMar w:top="2098" w:right="1474" w:bottom="1814" w:left="158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E2A" w:rsidRDefault="00BA7E2A" w:rsidP="002D273C">
      <w:r>
        <w:separator/>
      </w:r>
    </w:p>
  </w:endnote>
  <w:endnote w:type="continuationSeparator" w:id="1">
    <w:p w:rsidR="00BA7E2A" w:rsidRDefault="00BA7E2A" w:rsidP="002D273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Arial Unicode MS"/>
    <w:charset w:val="86"/>
    <w:family w:val="modern"/>
    <w:pitch w:val="default"/>
    <w:sig w:usb0="00000000"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73C" w:rsidRDefault="002D273C">
    <w:pPr>
      <w:pStyle w:val="a4"/>
      <w:jc w:val="both"/>
    </w:pPr>
    <w:r>
      <w:pict>
        <v:shapetype id="_x0000_t202" coordsize="21600,21600" o:spt="202" path="m,l,21600r21600,l21600,xe">
          <v:stroke joinstyle="miter"/>
          <v:path gradientshapeok="t" o:connecttype="rect"/>
        </v:shapetype>
        <v:shape id="_x0000_s2052" type="#_x0000_t202" style="position:absolute;left:0;text-align:left;margin-left:0;margin-top:0;width:2in;height:2in;z-index:251659264;mso-wrap-style:none;mso-position-horizontal:center;mso-position-horizontal-relative:margin" filled="f" stroked="f">
          <v:textbox style="mso-fit-shape-to-text:t" inset="0,0,0,0">
            <w:txbxContent>
              <w:p w:rsidR="002D273C" w:rsidRDefault="002D273C">
                <w:pPr>
                  <w:pStyle w:val="a4"/>
                  <w:rPr>
                    <w:rFonts w:eastAsia="宋体"/>
                    <w:sz w:val="24"/>
                    <w:szCs w:val="24"/>
                  </w:rPr>
                </w:pPr>
                <w:r>
                  <w:rPr>
                    <w:rFonts w:ascii="仿宋_GB2312" w:eastAsia="仿宋_GB2312" w:hAnsi="仿宋_GB2312" w:cs="仿宋_GB2312" w:hint="eastAsia"/>
                    <w:sz w:val="24"/>
                    <w:szCs w:val="24"/>
                  </w:rPr>
                  <w:fldChar w:fldCharType="begin"/>
                </w:r>
                <w:r w:rsidR="00BA7E2A">
                  <w:rPr>
                    <w:rFonts w:ascii="仿宋_GB2312" w:eastAsia="仿宋_GB2312" w:hAnsi="仿宋_GB2312" w:cs="仿宋_GB2312" w:hint="eastAsia"/>
                    <w:sz w:val="24"/>
                    <w:szCs w:val="24"/>
                  </w:rPr>
                  <w:instrText xml:space="preserve"> PAGE  \* MERGEFORMAT </w:instrText>
                </w:r>
                <w:r>
                  <w:rPr>
                    <w:rFonts w:ascii="仿宋_GB2312" w:eastAsia="仿宋_GB2312" w:hAnsi="仿宋_GB2312" w:cs="仿宋_GB2312" w:hint="eastAsia"/>
                    <w:sz w:val="24"/>
                    <w:szCs w:val="24"/>
                  </w:rPr>
                  <w:fldChar w:fldCharType="separate"/>
                </w:r>
                <w:r w:rsidR="008F55A9">
                  <w:rPr>
                    <w:rFonts w:ascii="仿宋_GB2312" w:eastAsia="仿宋_GB2312" w:hAnsi="仿宋_GB2312" w:cs="仿宋_GB2312"/>
                    <w:noProof/>
                    <w:sz w:val="24"/>
                    <w:szCs w:val="24"/>
                  </w:rPr>
                  <w:t>- 21 -</w:t>
                </w:r>
                <w:r>
                  <w:rPr>
                    <w:rFonts w:ascii="仿宋_GB2312" w:eastAsia="仿宋_GB2312" w:hAnsi="仿宋_GB2312" w:cs="仿宋_GB2312" w:hint="eastAsia"/>
                    <w:sz w:val="24"/>
                    <w:szCs w:val="24"/>
                  </w:rPr>
                  <w:fldChar w:fldCharType="end"/>
                </w:r>
              </w:p>
            </w:txbxContent>
          </v:textbox>
          <w10:wrap anchorx="margin"/>
        </v:shape>
      </w:pict>
    </w:r>
    <w:r>
      <w:pict>
        <v:shape id="_x0000_s2050" type="#_x0000_t202" style="position:absolute;left:0;text-align:left;margin-left:0;margin-top:0;width:2in;height:2in;z-index:251658240;mso-wrap-style:none;mso-position-horizontal:center;mso-position-horizontal-relative:margin" filled="f" stroked="f">
          <v:textbox style="mso-fit-shape-to-text:t" inset="0,0,0,0">
            <w:txbxContent>
              <w:p w:rsidR="002D273C" w:rsidRDefault="002D273C"/>
            </w:txbxContent>
          </v:textbox>
          <w10:wrap anchorx="margin"/>
        </v:shape>
      </w:pict>
    </w:r>
  </w:p>
  <w:p w:rsidR="002D273C" w:rsidRDefault="002D273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E2A" w:rsidRDefault="00BA7E2A" w:rsidP="002D273C">
      <w:r>
        <w:separator/>
      </w:r>
    </w:p>
  </w:footnote>
  <w:footnote w:type="continuationSeparator" w:id="1">
    <w:p w:rsidR="00BA7E2A" w:rsidRDefault="00BA7E2A" w:rsidP="002D27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12A4"/>
    <w:rsid w:val="00004956"/>
    <w:rsid w:val="00011AD0"/>
    <w:rsid w:val="00017861"/>
    <w:rsid w:val="00021000"/>
    <w:rsid w:val="00023068"/>
    <w:rsid w:val="000267CD"/>
    <w:rsid w:val="00042004"/>
    <w:rsid w:val="00046AB4"/>
    <w:rsid w:val="00051904"/>
    <w:rsid w:val="00052CC3"/>
    <w:rsid w:val="00056D03"/>
    <w:rsid w:val="0006023E"/>
    <w:rsid w:val="00074DB3"/>
    <w:rsid w:val="00076FA6"/>
    <w:rsid w:val="000772D1"/>
    <w:rsid w:val="00084E7D"/>
    <w:rsid w:val="0009654C"/>
    <w:rsid w:val="000B1BD8"/>
    <w:rsid w:val="000C20E0"/>
    <w:rsid w:val="000C6C6A"/>
    <w:rsid w:val="000D7466"/>
    <w:rsid w:val="000E1A87"/>
    <w:rsid w:val="000E5110"/>
    <w:rsid w:val="000F028E"/>
    <w:rsid w:val="000F1F01"/>
    <w:rsid w:val="00112FA4"/>
    <w:rsid w:val="001200F0"/>
    <w:rsid w:val="00122B72"/>
    <w:rsid w:val="00122E13"/>
    <w:rsid w:val="00123FDD"/>
    <w:rsid w:val="00144A80"/>
    <w:rsid w:val="0014546A"/>
    <w:rsid w:val="00146A3F"/>
    <w:rsid w:val="00147213"/>
    <w:rsid w:val="00184C67"/>
    <w:rsid w:val="00186C4A"/>
    <w:rsid w:val="001908CA"/>
    <w:rsid w:val="00192668"/>
    <w:rsid w:val="001A51B0"/>
    <w:rsid w:val="001B1CCC"/>
    <w:rsid w:val="001B5056"/>
    <w:rsid w:val="001D1626"/>
    <w:rsid w:val="001E3A73"/>
    <w:rsid w:val="00204200"/>
    <w:rsid w:val="0021226D"/>
    <w:rsid w:val="002251C1"/>
    <w:rsid w:val="0022527D"/>
    <w:rsid w:val="00227538"/>
    <w:rsid w:val="00227DB6"/>
    <w:rsid w:val="00236A7B"/>
    <w:rsid w:val="00243ECB"/>
    <w:rsid w:val="00260068"/>
    <w:rsid w:val="0026237B"/>
    <w:rsid w:val="0026470B"/>
    <w:rsid w:val="0026515A"/>
    <w:rsid w:val="0026713E"/>
    <w:rsid w:val="0028492B"/>
    <w:rsid w:val="00284D70"/>
    <w:rsid w:val="00286FDF"/>
    <w:rsid w:val="002A0C42"/>
    <w:rsid w:val="002A7D29"/>
    <w:rsid w:val="002B0A68"/>
    <w:rsid w:val="002B1EBF"/>
    <w:rsid w:val="002D15D1"/>
    <w:rsid w:val="002D273C"/>
    <w:rsid w:val="002E0605"/>
    <w:rsid w:val="002F1A92"/>
    <w:rsid w:val="002F39DB"/>
    <w:rsid w:val="002F64EE"/>
    <w:rsid w:val="003122AE"/>
    <w:rsid w:val="00315358"/>
    <w:rsid w:val="00317D50"/>
    <w:rsid w:val="003240D0"/>
    <w:rsid w:val="00326DC4"/>
    <w:rsid w:val="00327244"/>
    <w:rsid w:val="00331811"/>
    <w:rsid w:val="00332567"/>
    <w:rsid w:val="00336A6E"/>
    <w:rsid w:val="003377A6"/>
    <w:rsid w:val="003462EF"/>
    <w:rsid w:val="003535AF"/>
    <w:rsid w:val="0036490F"/>
    <w:rsid w:val="00370B5A"/>
    <w:rsid w:val="00374635"/>
    <w:rsid w:val="003768C4"/>
    <w:rsid w:val="00391A57"/>
    <w:rsid w:val="00392032"/>
    <w:rsid w:val="003B3DEC"/>
    <w:rsid w:val="003C2903"/>
    <w:rsid w:val="003D413E"/>
    <w:rsid w:val="003D6321"/>
    <w:rsid w:val="003E0880"/>
    <w:rsid w:val="003E0D9E"/>
    <w:rsid w:val="003F1CDD"/>
    <w:rsid w:val="003F7B94"/>
    <w:rsid w:val="00425841"/>
    <w:rsid w:val="00443FBC"/>
    <w:rsid w:val="0044523D"/>
    <w:rsid w:val="00456293"/>
    <w:rsid w:val="004645EF"/>
    <w:rsid w:val="00470A57"/>
    <w:rsid w:val="00472886"/>
    <w:rsid w:val="0047413C"/>
    <w:rsid w:val="00486721"/>
    <w:rsid w:val="00494BE2"/>
    <w:rsid w:val="004964ED"/>
    <w:rsid w:val="00496836"/>
    <w:rsid w:val="004B2888"/>
    <w:rsid w:val="004C3CDE"/>
    <w:rsid w:val="004E5939"/>
    <w:rsid w:val="004F1D5B"/>
    <w:rsid w:val="0050381E"/>
    <w:rsid w:val="00507B9F"/>
    <w:rsid w:val="00516D39"/>
    <w:rsid w:val="005427A1"/>
    <w:rsid w:val="005622CD"/>
    <w:rsid w:val="005744DB"/>
    <w:rsid w:val="00581BDE"/>
    <w:rsid w:val="005A2BCB"/>
    <w:rsid w:val="005A3E82"/>
    <w:rsid w:val="005A45D7"/>
    <w:rsid w:val="005A6CDE"/>
    <w:rsid w:val="005B3AC7"/>
    <w:rsid w:val="005F62DE"/>
    <w:rsid w:val="00606DAF"/>
    <w:rsid w:val="006141CF"/>
    <w:rsid w:val="00621E4D"/>
    <w:rsid w:val="00641A35"/>
    <w:rsid w:val="00651ED4"/>
    <w:rsid w:val="0066059F"/>
    <w:rsid w:val="006621AE"/>
    <w:rsid w:val="00676D64"/>
    <w:rsid w:val="00677604"/>
    <w:rsid w:val="00686DA4"/>
    <w:rsid w:val="00690FDB"/>
    <w:rsid w:val="006944FA"/>
    <w:rsid w:val="00695EE1"/>
    <w:rsid w:val="006A0814"/>
    <w:rsid w:val="006A1896"/>
    <w:rsid w:val="006A46BD"/>
    <w:rsid w:val="006A54F7"/>
    <w:rsid w:val="006D1371"/>
    <w:rsid w:val="006E26B4"/>
    <w:rsid w:val="007177FA"/>
    <w:rsid w:val="00721F3A"/>
    <w:rsid w:val="00722255"/>
    <w:rsid w:val="00740B5E"/>
    <w:rsid w:val="0075483B"/>
    <w:rsid w:val="007572B6"/>
    <w:rsid w:val="00763829"/>
    <w:rsid w:val="00794349"/>
    <w:rsid w:val="007A27B1"/>
    <w:rsid w:val="007C6AD7"/>
    <w:rsid w:val="007C7047"/>
    <w:rsid w:val="007D3D4B"/>
    <w:rsid w:val="007D6469"/>
    <w:rsid w:val="007E0FA8"/>
    <w:rsid w:val="007E35FD"/>
    <w:rsid w:val="007F1D23"/>
    <w:rsid w:val="00806462"/>
    <w:rsid w:val="008138D2"/>
    <w:rsid w:val="0081770C"/>
    <w:rsid w:val="0082436F"/>
    <w:rsid w:val="0083062E"/>
    <w:rsid w:val="00832939"/>
    <w:rsid w:val="008456D6"/>
    <w:rsid w:val="00845B74"/>
    <w:rsid w:val="00851277"/>
    <w:rsid w:val="00856609"/>
    <w:rsid w:val="0086593D"/>
    <w:rsid w:val="008712A4"/>
    <w:rsid w:val="00876554"/>
    <w:rsid w:val="008810EE"/>
    <w:rsid w:val="008A5630"/>
    <w:rsid w:val="008B7133"/>
    <w:rsid w:val="008D19FA"/>
    <w:rsid w:val="008D320D"/>
    <w:rsid w:val="008D38EA"/>
    <w:rsid w:val="008F03E0"/>
    <w:rsid w:val="008F0441"/>
    <w:rsid w:val="008F4335"/>
    <w:rsid w:val="008F55A9"/>
    <w:rsid w:val="008F5B57"/>
    <w:rsid w:val="008F65DA"/>
    <w:rsid w:val="009128D3"/>
    <w:rsid w:val="00916007"/>
    <w:rsid w:val="00922BAB"/>
    <w:rsid w:val="00923E05"/>
    <w:rsid w:val="00944DA8"/>
    <w:rsid w:val="009520B9"/>
    <w:rsid w:val="0095643D"/>
    <w:rsid w:val="00963AB5"/>
    <w:rsid w:val="009644C8"/>
    <w:rsid w:val="0098408F"/>
    <w:rsid w:val="00986013"/>
    <w:rsid w:val="009A18CB"/>
    <w:rsid w:val="009A2768"/>
    <w:rsid w:val="009B6A8A"/>
    <w:rsid w:val="009C332B"/>
    <w:rsid w:val="009C3B2D"/>
    <w:rsid w:val="009C70DD"/>
    <w:rsid w:val="009D123D"/>
    <w:rsid w:val="009D1B18"/>
    <w:rsid w:val="009D2760"/>
    <w:rsid w:val="009E19B9"/>
    <w:rsid w:val="009E3FFB"/>
    <w:rsid w:val="009E4955"/>
    <w:rsid w:val="009F0A58"/>
    <w:rsid w:val="009F100F"/>
    <w:rsid w:val="009F2A39"/>
    <w:rsid w:val="009F396A"/>
    <w:rsid w:val="00A00397"/>
    <w:rsid w:val="00A10637"/>
    <w:rsid w:val="00A2398C"/>
    <w:rsid w:val="00A252D5"/>
    <w:rsid w:val="00A26591"/>
    <w:rsid w:val="00A31726"/>
    <w:rsid w:val="00A3240A"/>
    <w:rsid w:val="00A54CA0"/>
    <w:rsid w:val="00A7350F"/>
    <w:rsid w:val="00A8139D"/>
    <w:rsid w:val="00A953FD"/>
    <w:rsid w:val="00AA4B49"/>
    <w:rsid w:val="00AC234E"/>
    <w:rsid w:val="00AD43BB"/>
    <w:rsid w:val="00AE186E"/>
    <w:rsid w:val="00AE1978"/>
    <w:rsid w:val="00AF25EF"/>
    <w:rsid w:val="00AF742E"/>
    <w:rsid w:val="00B13682"/>
    <w:rsid w:val="00B208CB"/>
    <w:rsid w:val="00B30094"/>
    <w:rsid w:val="00B312B6"/>
    <w:rsid w:val="00B50F1F"/>
    <w:rsid w:val="00B527C7"/>
    <w:rsid w:val="00B5562A"/>
    <w:rsid w:val="00B6096E"/>
    <w:rsid w:val="00B60BCA"/>
    <w:rsid w:val="00B628E8"/>
    <w:rsid w:val="00B759A5"/>
    <w:rsid w:val="00B769A2"/>
    <w:rsid w:val="00B827BC"/>
    <w:rsid w:val="00B8582A"/>
    <w:rsid w:val="00B869C4"/>
    <w:rsid w:val="00B92565"/>
    <w:rsid w:val="00B95124"/>
    <w:rsid w:val="00B95B13"/>
    <w:rsid w:val="00B970AF"/>
    <w:rsid w:val="00BA7E2A"/>
    <w:rsid w:val="00BB23EB"/>
    <w:rsid w:val="00BB47F0"/>
    <w:rsid w:val="00BC1BBE"/>
    <w:rsid w:val="00BD1B99"/>
    <w:rsid w:val="00BD26B4"/>
    <w:rsid w:val="00BD6DC8"/>
    <w:rsid w:val="00BE1DFB"/>
    <w:rsid w:val="00BE7808"/>
    <w:rsid w:val="00BF35D4"/>
    <w:rsid w:val="00C02C60"/>
    <w:rsid w:val="00C14016"/>
    <w:rsid w:val="00C25D81"/>
    <w:rsid w:val="00C30E33"/>
    <w:rsid w:val="00C31C69"/>
    <w:rsid w:val="00C47C11"/>
    <w:rsid w:val="00C624E9"/>
    <w:rsid w:val="00C66B28"/>
    <w:rsid w:val="00C72EC0"/>
    <w:rsid w:val="00C73405"/>
    <w:rsid w:val="00C75A51"/>
    <w:rsid w:val="00C82AEF"/>
    <w:rsid w:val="00CA1D77"/>
    <w:rsid w:val="00CA46AB"/>
    <w:rsid w:val="00CA4D14"/>
    <w:rsid w:val="00CB3752"/>
    <w:rsid w:val="00CD1712"/>
    <w:rsid w:val="00CD6439"/>
    <w:rsid w:val="00CF776A"/>
    <w:rsid w:val="00D01CE6"/>
    <w:rsid w:val="00D01E88"/>
    <w:rsid w:val="00D04628"/>
    <w:rsid w:val="00D05A35"/>
    <w:rsid w:val="00D22D2C"/>
    <w:rsid w:val="00D2343F"/>
    <w:rsid w:val="00D37CE7"/>
    <w:rsid w:val="00D4575E"/>
    <w:rsid w:val="00D53C1D"/>
    <w:rsid w:val="00D658AF"/>
    <w:rsid w:val="00D670E3"/>
    <w:rsid w:val="00D83E55"/>
    <w:rsid w:val="00D943EE"/>
    <w:rsid w:val="00D96FF1"/>
    <w:rsid w:val="00DA1012"/>
    <w:rsid w:val="00DA456D"/>
    <w:rsid w:val="00DA498B"/>
    <w:rsid w:val="00DA638D"/>
    <w:rsid w:val="00DB308C"/>
    <w:rsid w:val="00DB7BA3"/>
    <w:rsid w:val="00DD13C5"/>
    <w:rsid w:val="00DF6F4A"/>
    <w:rsid w:val="00E02F43"/>
    <w:rsid w:val="00E07396"/>
    <w:rsid w:val="00E12631"/>
    <w:rsid w:val="00E179DD"/>
    <w:rsid w:val="00E2258C"/>
    <w:rsid w:val="00E269FD"/>
    <w:rsid w:val="00E303FC"/>
    <w:rsid w:val="00E32322"/>
    <w:rsid w:val="00E40682"/>
    <w:rsid w:val="00E41B6A"/>
    <w:rsid w:val="00E456D2"/>
    <w:rsid w:val="00E51453"/>
    <w:rsid w:val="00E63DDD"/>
    <w:rsid w:val="00E64854"/>
    <w:rsid w:val="00E66EFE"/>
    <w:rsid w:val="00E710B9"/>
    <w:rsid w:val="00E718AF"/>
    <w:rsid w:val="00E7333E"/>
    <w:rsid w:val="00E77259"/>
    <w:rsid w:val="00E83BFE"/>
    <w:rsid w:val="00E96AE3"/>
    <w:rsid w:val="00EA0358"/>
    <w:rsid w:val="00EA2F07"/>
    <w:rsid w:val="00EA3D0F"/>
    <w:rsid w:val="00EA4582"/>
    <w:rsid w:val="00EA4CDC"/>
    <w:rsid w:val="00EA5ACB"/>
    <w:rsid w:val="00EA7BB2"/>
    <w:rsid w:val="00EA7FA4"/>
    <w:rsid w:val="00EB448E"/>
    <w:rsid w:val="00EB4960"/>
    <w:rsid w:val="00ED053C"/>
    <w:rsid w:val="00ED7CF5"/>
    <w:rsid w:val="00EE4B1C"/>
    <w:rsid w:val="00EE797D"/>
    <w:rsid w:val="00EF00E4"/>
    <w:rsid w:val="00EF23F9"/>
    <w:rsid w:val="00EF270F"/>
    <w:rsid w:val="00F04D2D"/>
    <w:rsid w:val="00F173F5"/>
    <w:rsid w:val="00F2057A"/>
    <w:rsid w:val="00F23B56"/>
    <w:rsid w:val="00F246E5"/>
    <w:rsid w:val="00F247E7"/>
    <w:rsid w:val="00F268B7"/>
    <w:rsid w:val="00F32BF3"/>
    <w:rsid w:val="00F602C6"/>
    <w:rsid w:val="00F7418E"/>
    <w:rsid w:val="00F8488C"/>
    <w:rsid w:val="00FA6BA4"/>
    <w:rsid w:val="00FB635F"/>
    <w:rsid w:val="00FB7343"/>
    <w:rsid w:val="00FB7FD7"/>
    <w:rsid w:val="00FD0815"/>
    <w:rsid w:val="00FE1CF9"/>
    <w:rsid w:val="00FE5D2C"/>
    <w:rsid w:val="00FF1A75"/>
    <w:rsid w:val="00FF48FD"/>
    <w:rsid w:val="00FF7713"/>
    <w:rsid w:val="03B35CE2"/>
    <w:rsid w:val="053C2545"/>
    <w:rsid w:val="08874932"/>
    <w:rsid w:val="0951066B"/>
    <w:rsid w:val="0C206FC7"/>
    <w:rsid w:val="0E046EF3"/>
    <w:rsid w:val="0E441EDE"/>
    <w:rsid w:val="0E49543B"/>
    <w:rsid w:val="15EE0A18"/>
    <w:rsid w:val="193D2CA9"/>
    <w:rsid w:val="198D5003"/>
    <w:rsid w:val="1DF94F59"/>
    <w:rsid w:val="1FE77467"/>
    <w:rsid w:val="22865802"/>
    <w:rsid w:val="26774FA6"/>
    <w:rsid w:val="28356B6A"/>
    <w:rsid w:val="28DE738D"/>
    <w:rsid w:val="28E1034C"/>
    <w:rsid w:val="2DB71B92"/>
    <w:rsid w:val="2EE4076C"/>
    <w:rsid w:val="311907F3"/>
    <w:rsid w:val="324C697D"/>
    <w:rsid w:val="33C536A1"/>
    <w:rsid w:val="37C529E5"/>
    <w:rsid w:val="389854FE"/>
    <w:rsid w:val="41EE24F5"/>
    <w:rsid w:val="427469C7"/>
    <w:rsid w:val="44192156"/>
    <w:rsid w:val="44642978"/>
    <w:rsid w:val="478A20A7"/>
    <w:rsid w:val="480874DC"/>
    <w:rsid w:val="490562A5"/>
    <w:rsid w:val="4C090C41"/>
    <w:rsid w:val="4E1B510A"/>
    <w:rsid w:val="510A0775"/>
    <w:rsid w:val="53BA63C5"/>
    <w:rsid w:val="53C8751E"/>
    <w:rsid w:val="54A51309"/>
    <w:rsid w:val="56FF3927"/>
    <w:rsid w:val="57EC26D7"/>
    <w:rsid w:val="598F47D0"/>
    <w:rsid w:val="5B707E15"/>
    <w:rsid w:val="5B811B9A"/>
    <w:rsid w:val="5C156607"/>
    <w:rsid w:val="611279C5"/>
    <w:rsid w:val="65307913"/>
    <w:rsid w:val="65B73EEB"/>
    <w:rsid w:val="673C7561"/>
    <w:rsid w:val="6925210F"/>
    <w:rsid w:val="696A7C25"/>
    <w:rsid w:val="6AF378FA"/>
    <w:rsid w:val="6B0C6007"/>
    <w:rsid w:val="6D7B6C1C"/>
    <w:rsid w:val="6ECB732A"/>
    <w:rsid w:val="70D14005"/>
    <w:rsid w:val="798D3CBB"/>
    <w:rsid w:val="79C37C7B"/>
    <w:rsid w:val="79E11EC1"/>
    <w:rsid w:val="7A4F7AB4"/>
    <w:rsid w:val="7A634711"/>
    <w:rsid w:val="7E7D5855"/>
    <w:rsid w:val="7F811A7C"/>
    <w:rsid w:val="7FE80C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73C"/>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D273C"/>
    <w:rPr>
      <w:sz w:val="18"/>
      <w:szCs w:val="18"/>
    </w:rPr>
  </w:style>
  <w:style w:type="paragraph" w:styleId="a4">
    <w:name w:val="footer"/>
    <w:basedOn w:val="a"/>
    <w:link w:val="Char0"/>
    <w:uiPriority w:val="99"/>
    <w:unhideWhenUsed/>
    <w:qFormat/>
    <w:rsid w:val="002D273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2D273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qFormat/>
    <w:rsid w:val="002D273C"/>
    <w:pPr>
      <w:widowControl/>
      <w:spacing w:before="100" w:beforeAutospacing="1" w:after="100" w:afterAutospacing="1"/>
      <w:jc w:val="left"/>
    </w:pPr>
    <w:rPr>
      <w:rFonts w:ascii="宋体" w:hAnsi="宋体" w:cs="宋体"/>
      <w:kern w:val="0"/>
      <w:sz w:val="24"/>
      <w:szCs w:val="24"/>
    </w:rPr>
  </w:style>
  <w:style w:type="character" w:customStyle="1" w:styleId="Char1">
    <w:name w:val="页眉 Char"/>
    <w:basedOn w:val="a0"/>
    <w:link w:val="a5"/>
    <w:uiPriority w:val="99"/>
    <w:qFormat/>
    <w:rsid w:val="002D273C"/>
    <w:rPr>
      <w:sz w:val="18"/>
      <w:szCs w:val="18"/>
    </w:rPr>
  </w:style>
  <w:style w:type="character" w:customStyle="1" w:styleId="Char0">
    <w:name w:val="页脚 Char"/>
    <w:basedOn w:val="a0"/>
    <w:link w:val="a4"/>
    <w:uiPriority w:val="99"/>
    <w:qFormat/>
    <w:rsid w:val="002D273C"/>
    <w:rPr>
      <w:sz w:val="18"/>
      <w:szCs w:val="18"/>
    </w:rPr>
  </w:style>
  <w:style w:type="character" w:customStyle="1" w:styleId="Char">
    <w:name w:val="批注框文本 Char"/>
    <w:basedOn w:val="a0"/>
    <w:link w:val="a3"/>
    <w:uiPriority w:val="99"/>
    <w:semiHidden/>
    <w:qFormat/>
    <w:rsid w:val="002D273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Microsoft%20Office%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30333;&#30382;&#20070;&#34920;&#26684;.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___1.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Office_Excel____2.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Office_Excel____3.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Office_Excel____4.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Office_Excel____5.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lenovo\Desktop\&#30333;&#30382;&#20070;&#34920;&#2668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比重</c:v>
                </c:pt>
              </c:strCache>
            </c:strRef>
          </c:tx>
          <c:explosion val="25"/>
          <c:dPt>
            <c:idx val="0"/>
            <c:explosion val="12"/>
          </c:dPt>
          <c:dPt>
            <c:idx val="2"/>
            <c:explosion val="16"/>
          </c:dPt>
          <c:dPt>
            <c:idx val="3"/>
            <c:explosion val="14"/>
          </c:dPt>
          <c:dLbls>
            <c:dLbl>
              <c:idx val="2"/>
              <c:layout>
                <c:manualLayout>
                  <c:x val="-1.5226168200498802E-2"/>
                  <c:y val="2.2484486701970004E-2"/>
                </c:manualLayout>
              </c:layout>
              <c:dLblPos val="bestFit"/>
              <c:showVal val="1"/>
              <c:extLst>
                <c:ext xmlns:c15="http://schemas.microsoft.com/office/drawing/2012/chart" uri="{CE6537A1-D6FC-4f65-9D91-7224C49458BB}">
                  <c15:layout/>
                </c:ext>
              </c:extLst>
            </c:dLbl>
            <c:dLbl>
              <c:idx val="3"/>
              <c:layout>
                <c:manualLayout>
                  <c:x val="1.5587776416450008E-2"/>
                  <c:y val="1.7389738883938705E-2"/>
                </c:manualLayout>
              </c:layout>
              <c:dLblPos val="bestFit"/>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ext>
            </c:extLst>
          </c:dLbls>
          <c:cat>
            <c:strRef>
              <c:f>Sheet1!$A$2:$A$5</c:f>
              <c:strCache>
                <c:ptCount val="4"/>
                <c:pt idx="0">
                  <c:v>一审</c:v>
                </c:pt>
                <c:pt idx="1">
                  <c:v>二审</c:v>
                </c:pt>
                <c:pt idx="2">
                  <c:v>申请再审</c:v>
                </c:pt>
                <c:pt idx="3">
                  <c:v>再审</c:v>
                </c:pt>
              </c:strCache>
            </c:strRef>
          </c:cat>
          <c:val>
            <c:numRef>
              <c:f>Sheet1!$B$2:$B$5</c:f>
              <c:numCache>
                <c:formatCode>0.00%</c:formatCode>
                <c:ptCount val="4"/>
                <c:pt idx="0">
                  <c:v>0.63700000000000923</c:v>
                </c:pt>
                <c:pt idx="1">
                  <c:v>0.28400000000000009</c:v>
                </c:pt>
                <c:pt idx="2">
                  <c:v>7.4000000000000024E-2</c:v>
                </c:pt>
                <c:pt idx="3">
                  <c:v>5.0000000000000114E-3</c:v>
                </c:pt>
              </c:numCache>
            </c:numRef>
          </c:val>
        </c:ser>
        <c:dLbls>
          <c:showVal val="1"/>
        </c:dLbls>
        <c:firstSliceAng val="15"/>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tx>
        <c:rich>
          <a:bodyPr/>
          <a:lstStyle/>
          <a:p>
            <a:pPr>
              <a:defRPr/>
            </a:pPr>
            <a:endParaRPr/>
          </a:p>
        </c:rich>
      </c:tx>
      <c:spPr>
        <a:noFill/>
        <a:ln>
          <a:noFill/>
        </a:ln>
        <a:effectLst/>
      </c:spPr>
    </c:title>
    <c:plotArea>
      <c:layout>
        <c:manualLayout>
          <c:layoutTarget val="inner"/>
          <c:xMode val="edge"/>
          <c:yMode val="edge"/>
          <c:x val="2.3848238482384904E-2"/>
          <c:y val="0.10901385761017902"/>
          <c:w val="0.58996957087681079"/>
          <c:h val="0.75747658891281477"/>
        </c:manualLayout>
      </c:layout>
      <c:doughnutChart>
        <c:varyColors val="1"/>
        <c:ser>
          <c:idx val="0"/>
          <c:order val="0"/>
          <c:explosion val="6"/>
          <c:dPt>
            <c:idx val="0"/>
            <c:spPr>
              <a:solidFill>
                <a:schemeClr val="accent1"/>
              </a:solidFill>
              <a:ln w="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Pt>
            <c:idx val="7"/>
            <c:spPr>
              <a:solidFill>
                <a:schemeClr val="accent2">
                  <a:lumMod val="60000"/>
                </a:schemeClr>
              </a:solidFill>
              <a:ln w="19050">
                <a:solidFill>
                  <a:schemeClr val="lt1"/>
                </a:solidFill>
              </a:ln>
              <a:effectLst/>
            </c:spPr>
          </c:dPt>
          <c:dPt>
            <c:idx val="8"/>
            <c:spPr>
              <a:solidFill>
                <a:schemeClr val="accent3">
                  <a:lumMod val="60000"/>
                </a:schemeClr>
              </a:solidFill>
              <a:ln w="19050">
                <a:solidFill>
                  <a:schemeClr val="lt1"/>
                </a:solidFill>
              </a:ln>
              <a:effectLst/>
            </c:spPr>
          </c:dPt>
          <c:dPt>
            <c:idx val="9"/>
            <c:spPr>
              <a:solidFill>
                <a:schemeClr val="accent4">
                  <a:lumMod val="60000"/>
                </a:schemeClr>
              </a:solidFill>
              <a:ln w="19050">
                <a:solidFill>
                  <a:schemeClr val="lt1"/>
                </a:solidFill>
              </a:ln>
              <a:effectLst/>
            </c:spPr>
          </c:dPt>
          <c:dPt>
            <c:idx val="10"/>
            <c:spPr>
              <a:solidFill>
                <a:schemeClr val="accent5">
                  <a:lumMod val="60000"/>
                </a:schemeClr>
              </a:solidFill>
              <a:ln w="19050">
                <a:solidFill>
                  <a:schemeClr val="lt1"/>
                </a:solidFill>
              </a:ln>
              <a:effectLst/>
            </c:spPr>
          </c:dPt>
          <c:cat>
            <c:strRef>
              <c:f>表二!$D$16:$D$26</c:f>
              <c:strCache>
                <c:ptCount val="11"/>
                <c:pt idx="0">
                  <c:v>公安行政2110件</c:v>
                </c:pt>
                <c:pt idx="1">
                  <c:v>因征收产生的强制拆除1983件</c:v>
                </c:pt>
                <c:pt idx="2">
                  <c:v>劳动和社会保障1803件</c:v>
                </c:pt>
                <c:pt idx="3">
                  <c:v>集体土地征收1597件</c:v>
                </c:pt>
                <c:pt idx="4">
                  <c:v>国有土地上房屋征收1101件</c:v>
                </c:pt>
                <c:pt idx="5">
                  <c:v>拆违拆临1096件</c:v>
                </c:pt>
                <c:pt idx="6">
                  <c:v>工商管理477件</c:v>
                </c:pt>
                <c:pt idx="7">
                  <c:v>环境资源管理400件</c:v>
                </c:pt>
                <c:pt idx="8">
                  <c:v>食药管理195件</c:v>
                </c:pt>
                <c:pt idx="9">
                  <c:v>质量监督97件</c:v>
                </c:pt>
                <c:pt idx="10">
                  <c:v>其他6712件</c:v>
                </c:pt>
              </c:strCache>
            </c:strRef>
          </c:cat>
          <c:val>
            <c:numRef>
              <c:f>表二!$E$16:$E$26</c:f>
              <c:numCache>
                <c:formatCode>General</c:formatCode>
                <c:ptCount val="11"/>
                <c:pt idx="0">
                  <c:v>2110</c:v>
                </c:pt>
                <c:pt idx="1">
                  <c:v>1983</c:v>
                </c:pt>
                <c:pt idx="2">
                  <c:v>1803</c:v>
                </c:pt>
                <c:pt idx="3">
                  <c:v>1597</c:v>
                </c:pt>
                <c:pt idx="4">
                  <c:v>1101</c:v>
                </c:pt>
                <c:pt idx="5">
                  <c:v>1096</c:v>
                </c:pt>
                <c:pt idx="6">
                  <c:v>477</c:v>
                </c:pt>
                <c:pt idx="7">
                  <c:v>400</c:v>
                </c:pt>
                <c:pt idx="8">
                  <c:v>195</c:v>
                </c:pt>
                <c:pt idx="9">
                  <c:v>97</c:v>
                </c:pt>
                <c:pt idx="10">
                  <c:v>6712</c:v>
                </c:pt>
              </c:numCache>
            </c:numRef>
          </c:val>
        </c:ser>
        <c:firstSliceAng val="2"/>
        <c:holeSize val="49"/>
      </c:doughnutChart>
      <c:spPr>
        <a:noFill/>
        <a:ln>
          <a:noFill/>
        </a:ln>
        <a:effectLst/>
      </c:spPr>
    </c:plotArea>
    <c:legend>
      <c:legendPos val="r"/>
      <c:layout>
        <c:manualLayout>
          <c:xMode val="edge"/>
          <c:yMode val="edge"/>
          <c:x val="0.67503608390414704"/>
          <c:y val="0.17412369382845896"/>
          <c:w val="0.30276234982822309"/>
          <c:h val="0.80937166778995984"/>
        </c:manualLayout>
      </c:layout>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endParaRPr/>
          </a:p>
        </c:rich>
      </c:tx>
      <c:layout>
        <c:manualLayout>
          <c:xMode val="edge"/>
          <c:yMode val="edge"/>
          <c:x val="0.19906101720998196"/>
          <c:y val="4.6548885665216699E-2"/>
        </c:manualLayout>
      </c:layout>
      <c:spPr>
        <a:noFill/>
        <a:ln>
          <a:noFill/>
        </a:ln>
        <a:effectLst/>
      </c:spPr>
    </c:title>
    <c:plotArea>
      <c:layout>
        <c:manualLayout>
          <c:layoutTarget val="inner"/>
          <c:xMode val="edge"/>
          <c:yMode val="edge"/>
          <c:x val="4.5037148134261018E-2"/>
          <c:y val="0.19926702629508"/>
          <c:w val="0.43574698162729714"/>
          <c:h val="0.434299317236508"/>
        </c:manualLayout>
      </c:layout>
      <c:doughnutChart>
        <c:varyColors val="1"/>
        <c:ser>
          <c:idx val="0"/>
          <c:order val="0"/>
          <c:explosion val="8"/>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Pt>
            <c:idx val="5"/>
            <c:spPr>
              <a:solidFill>
                <a:schemeClr val="accent6"/>
              </a:solidFill>
              <a:ln w="19050">
                <a:solidFill>
                  <a:schemeClr val="lt1"/>
                </a:solidFill>
              </a:ln>
              <a:effectLst/>
            </c:spPr>
          </c:dPt>
          <c:dPt>
            <c:idx val="6"/>
            <c:spPr>
              <a:solidFill>
                <a:schemeClr val="accent1">
                  <a:lumMod val="60000"/>
                </a:schemeClr>
              </a:solidFill>
              <a:ln w="19050">
                <a:solidFill>
                  <a:schemeClr val="lt1"/>
                </a:solidFill>
              </a:ln>
              <a:effectLst/>
            </c:spPr>
          </c:dPt>
          <c:dPt>
            <c:idx val="7"/>
            <c:spPr>
              <a:solidFill>
                <a:schemeClr val="accent2">
                  <a:lumMod val="60000"/>
                </a:schemeClr>
              </a:solidFill>
              <a:ln w="19050">
                <a:solidFill>
                  <a:schemeClr val="lt1"/>
                </a:solidFill>
              </a:ln>
              <a:effectLst/>
            </c:spPr>
          </c:dPt>
          <c:dPt>
            <c:idx val="8"/>
            <c:spPr>
              <a:solidFill>
                <a:schemeClr val="accent3">
                  <a:lumMod val="60000"/>
                </a:schemeClr>
              </a:solidFill>
              <a:ln w="19050">
                <a:solidFill>
                  <a:schemeClr val="lt1"/>
                </a:solidFill>
              </a:ln>
              <a:effectLst/>
            </c:spPr>
          </c:dPt>
          <c:dPt>
            <c:idx val="9"/>
            <c:spPr>
              <a:solidFill>
                <a:schemeClr val="accent4">
                  <a:lumMod val="60000"/>
                </a:schemeClr>
              </a:solidFill>
              <a:ln w="19050">
                <a:solidFill>
                  <a:schemeClr val="lt1"/>
                </a:solidFill>
              </a:ln>
              <a:effectLst/>
            </c:spPr>
          </c:dPt>
          <c:dPt>
            <c:idx val="10"/>
            <c:spPr>
              <a:solidFill>
                <a:schemeClr val="accent5">
                  <a:lumMod val="60000"/>
                </a:schemeClr>
              </a:solidFill>
              <a:ln w="19050">
                <a:solidFill>
                  <a:schemeClr val="lt1"/>
                </a:solidFill>
              </a:ln>
              <a:effectLst/>
            </c:spPr>
          </c:dPt>
          <c:cat>
            <c:strRef>
              <c:f>表三!$B$5:$B$15</c:f>
              <c:strCache>
                <c:ptCount val="11"/>
                <c:pt idx="0">
                  <c:v>要求履行法定职责、义务2162件</c:v>
                </c:pt>
                <c:pt idx="1">
                  <c:v>行政处罚1933件</c:v>
                </c:pt>
                <c:pt idx="2">
                  <c:v>行政强制1902件</c:v>
                </c:pt>
                <c:pt idx="3">
                  <c:v>行政登记1763件</c:v>
                </c:pt>
                <c:pt idx="4">
                  <c:v>行政复议1447件</c:v>
                </c:pt>
                <c:pt idx="5">
                  <c:v>信息公开1103件</c:v>
                </c:pt>
                <c:pt idx="6">
                  <c:v>行政赔偿1010件</c:v>
                </c:pt>
                <c:pt idx="7">
                  <c:v>行政补偿849件</c:v>
                </c:pt>
                <c:pt idx="8">
                  <c:v>行政协议514件</c:v>
                </c:pt>
                <c:pt idx="9">
                  <c:v>行政许可174件</c:v>
                </c:pt>
                <c:pt idx="10">
                  <c:v>其他4714件</c:v>
                </c:pt>
              </c:strCache>
            </c:strRef>
          </c:cat>
          <c:val>
            <c:numRef>
              <c:f>表三!$C$5:$C$15</c:f>
              <c:numCache>
                <c:formatCode>General</c:formatCode>
                <c:ptCount val="11"/>
                <c:pt idx="0">
                  <c:v>2162</c:v>
                </c:pt>
                <c:pt idx="1">
                  <c:v>1933</c:v>
                </c:pt>
                <c:pt idx="2">
                  <c:v>1902</c:v>
                </c:pt>
                <c:pt idx="3">
                  <c:v>1763</c:v>
                </c:pt>
                <c:pt idx="4">
                  <c:v>1447</c:v>
                </c:pt>
                <c:pt idx="5">
                  <c:v>1103</c:v>
                </c:pt>
                <c:pt idx="6">
                  <c:v>1010</c:v>
                </c:pt>
                <c:pt idx="7">
                  <c:v>849</c:v>
                </c:pt>
                <c:pt idx="8">
                  <c:v>514</c:v>
                </c:pt>
                <c:pt idx="9">
                  <c:v>174</c:v>
                </c:pt>
                <c:pt idx="10">
                  <c:v>4714</c:v>
                </c:pt>
              </c:numCache>
            </c:numRef>
          </c:val>
        </c:ser>
        <c:firstSliceAng val="0"/>
        <c:holeSize val="41"/>
      </c:doughnutChart>
      <c:spPr>
        <a:noFill/>
        <a:ln>
          <a:noFill/>
        </a:ln>
        <a:effectLst/>
      </c:spPr>
    </c:plotArea>
    <c:legend>
      <c:legendPos val="r"/>
      <c:layout>
        <c:manualLayout>
          <c:xMode val="edge"/>
          <c:yMode val="edge"/>
          <c:x val="0.68866666666666698"/>
          <c:y val="0.14725085910652905"/>
          <c:w val="0.2626666666666671"/>
          <c:h val="0.74484536082474218"/>
        </c:manualLayout>
      </c:layout>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noFill/>
    <a:ln w="9525" cap="flat" cmpd="sng" algn="ctr">
      <a:noFill/>
      <a:prstDash val="solid"/>
      <a:round/>
    </a:ln>
    <a:effectLst/>
  </c:spPr>
  <c:txPr>
    <a:bodyPr/>
    <a:lstStyle/>
    <a:p>
      <a:pPr>
        <a:defRPr lang="zh-CN"/>
      </a:pPr>
      <a:endParaRPr lang="zh-CN"/>
    </a:p>
  </c:tx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endParaRPr/>
          </a:p>
        </c:rich>
      </c:tx>
      <c:layout>
        <c:manualLayout>
          <c:xMode val="edge"/>
          <c:yMode val="edge"/>
          <c:x val="0.204358559644923"/>
          <c:y val="1.5967258762774807E-2"/>
        </c:manualLayout>
      </c:layout>
      <c:spPr>
        <a:noFill/>
        <a:ln>
          <a:noFill/>
        </a:ln>
        <a:effectLst/>
      </c:spPr>
    </c:title>
    <c:plotArea>
      <c:layout>
        <c:manualLayout>
          <c:layoutTarget val="inner"/>
          <c:xMode val="edge"/>
          <c:yMode val="edge"/>
          <c:x val="6.848385331143951E-2"/>
          <c:y val="8.0677966101694934E-2"/>
          <c:w val="0.92144499178981898"/>
          <c:h val="0.67812429378531125"/>
        </c:manualLayout>
      </c:layout>
      <c:barChart>
        <c:barDir val="bar"/>
        <c:grouping val="clustered"/>
        <c:ser>
          <c:idx val="0"/>
          <c:order val="0"/>
          <c:tx>
            <c:strRef>
              <c:f>表一!$C$5</c:f>
              <c:strCache>
                <c:ptCount val="1"/>
                <c:pt idx="0">
                  <c:v>2018年一审收案</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cat>
            <c:strRef>
              <c:f>表一!$B$6:$B$21</c:f>
              <c:strCache>
                <c:ptCount val="16"/>
                <c:pt idx="0">
                  <c:v>济南 </c:v>
                </c:pt>
                <c:pt idx="1">
                  <c:v>青岛 </c:v>
                </c:pt>
                <c:pt idx="2">
                  <c:v>淄博 </c:v>
                </c:pt>
                <c:pt idx="3">
                  <c:v>枣庄 </c:v>
                </c:pt>
                <c:pt idx="4">
                  <c:v>东营 </c:v>
                </c:pt>
                <c:pt idx="5">
                  <c:v>烟台 </c:v>
                </c:pt>
                <c:pt idx="6">
                  <c:v>潍坊 </c:v>
                </c:pt>
                <c:pt idx="7">
                  <c:v>济宁 </c:v>
                </c:pt>
                <c:pt idx="8">
                  <c:v>泰安 </c:v>
                </c:pt>
                <c:pt idx="9">
                  <c:v>威海 </c:v>
                </c:pt>
                <c:pt idx="10">
                  <c:v>日照 </c:v>
                </c:pt>
                <c:pt idx="11">
                  <c:v>滨州 </c:v>
                </c:pt>
                <c:pt idx="12">
                  <c:v>德州 </c:v>
                </c:pt>
                <c:pt idx="13">
                  <c:v>聊城 </c:v>
                </c:pt>
                <c:pt idx="14">
                  <c:v>临沂 </c:v>
                </c:pt>
                <c:pt idx="15">
                  <c:v>菏泽 </c:v>
                </c:pt>
              </c:strCache>
            </c:strRef>
          </c:cat>
          <c:val>
            <c:numRef>
              <c:f>表一!$C$6:$C$21</c:f>
              <c:numCache>
                <c:formatCode>General</c:formatCode>
                <c:ptCount val="16"/>
                <c:pt idx="0">
                  <c:v>3737</c:v>
                </c:pt>
                <c:pt idx="1">
                  <c:v>2066</c:v>
                </c:pt>
                <c:pt idx="2">
                  <c:v>980</c:v>
                </c:pt>
                <c:pt idx="3">
                  <c:v>547</c:v>
                </c:pt>
                <c:pt idx="4">
                  <c:v>231</c:v>
                </c:pt>
                <c:pt idx="5">
                  <c:v>774</c:v>
                </c:pt>
                <c:pt idx="6">
                  <c:v>1102</c:v>
                </c:pt>
                <c:pt idx="7">
                  <c:v>1204</c:v>
                </c:pt>
                <c:pt idx="8">
                  <c:v>984</c:v>
                </c:pt>
                <c:pt idx="9">
                  <c:v>403</c:v>
                </c:pt>
                <c:pt idx="10">
                  <c:v>432</c:v>
                </c:pt>
                <c:pt idx="11">
                  <c:v>375</c:v>
                </c:pt>
                <c:pt idx="12">
                  <c:v>784</c:v>
                </c:pt>
                <c:pt idx="13">
                  <c:v>864</c:v>
                </c:pt>
                <c:pt idx="14">
                  <c:v>1476</c:v>
                </c:pt>
                <c:pt idx="15">
                  <c:v>1606</c:v>
                </c:pt>
              </c:numCache>
            </c:numRef>
          </c:val>
        </c:ser>
        <c:ser>
          <c:idx val="1"/>
          <c:order val="1"/>
          <c:tx>
            <c:strRef>
              <c:f>表一!$D$5</c:f>
              <c:strCache>
                <c:ptCount val="1"/>
                <c:pt idx="0">
                  <c:v>2017年同期</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cat>
            <c:strRef>
              <c:f>表一!$B$6:$B$21</c:f>
              <c:strCache>
                <c:ptCount val="16"/>
                <c:pt idx="0">
                  <c:v>济南 </c:v>
                </c:pt>
                <c:pt idx="1">
                  <c:v>青岛 </c:v>
                </c:pt>
                <c:pt idx="2">
                  <c:v>淄博 </c:v>
                </c:pt>
                <c:pt idx="3">
                  <c:v>枣庄 </c:v>
                </c:pt>
                <c:pt idx="4">
                  <c:v>东营 </c:v>
                </c:pt>
                <c:pt idx="5">
                  <c:v>烟台 </c:v>
                </c:pt>
                <c:pt idx="6">
                  <c:v>潍坊 </c:v>
                </c:pt>
                <c:pt idx="7">
                  <c:v>济宁 </c:v>
                </c:pt>
                <c:pt idx="8">
                  <c:v>泰安 </c:v>
                </c:pt>
                <c:pt idx="9">
                  <c:v>威海 </c:v>
                </c:pt>
                <c:pt idx="10">
                  <c:v>日照 </c:v>
                </c:pt>
                <c:pt idx="11">
                  <c:v>滨州 </c:v>
                </c:pt>
                <c:pt idx="12">
                  <c:v>德州 </c:v>
                </c:pt>
                <c:pt idx="13">
                  <c:v>聊城 </c:v>
                </c:pt>
                <c:pt idx="14">
                  <c:v>临沂 </c:v>
                </c:pt>
                <c:pt idx="15">
                  <c:v>菏泽 </c:v>
                </c:pt>
              </c:strCache>
            </c:strRef>
          </c:cat>
          <c:val>
            <c:numRef>
              <c:f>表一!$D$6:$D$21</c:f>
              <c:numCache>
                <c:formatCode>General</c:formatCode>
                <c:ptCount val="16"/>
                <c:pt idx="0">
                  <c:v>3153</c:v>
                </c:pt>
                <c:pt idx="1">
                  <c:v>2320</c:v>
                </c:pt>
                <c:pt idx="2">
                  <c:v>560</c:v>
                </c:pt>
                <c:pt idx="3">
                  <c:v>461</c:v>
                </c:pt>
                <c:pt idx="4">
                  <c:v>277</c:v>
                </c:pt>
                <c:pt idx="5">
                  <c:v>742</c:v>
                </c:pt>
                <c:pt idx="6">
                  <c:v>813</c:v>
                </c:pt>
                <c:pt idx="7">
                  <c:v>1105</c:v>
                </c:pt>
                <c:pt idx="8">
                  <c:v>685</c:v>
                </c:pt>
                <c:pt idx="9">
                  <c:v>403</c:v>
                </c:pt>
                <c:pt idx="10">
                  <c:v>344</c:v>
                </c:pt>
                <c:pt idx="11">
                  <c:v>414</c:v>
                </c:pt>
                <c:pt idx="12">
                  <c:v>571</c:v>
                </c:pt>
                <c:pt idx="13">
                  <c:v>710</c:v>
                </c:pt>
                <c:pt idx="14">
                  <c:v>1247</c:v>
                </c:pt>
                <c:pt idx="15">
                  <c:v>97</c:v>
                </c:pt>
              </c:numCache>
            </c:numRef>
          </c:val>
        </c:ser>
        <c:gapWidth val="65"/>
        <c:axId val="75564160"/>
        <c:axId val="75565696"/>
      </c:barChart>
      <c:catAx>
        <c:axId val="75564160"/>
        <c:scaling>
          <c:orientation val="maxMin"/>
        </c:scaling>
        <c:axPos val="l"/>
        <c:numFmt formatCode="General" sourceLinked="1"/>
        <c:majorTickMark val="none"/>
        <c:tickLblPos val="nextTo"/>
        <c:spPr>
          <a:noFill/>
          <a:ln w="19050" cap="flat" cmpd="sng" algn="ctr">
            <a:solidFill>
              <a:schemeClr val="dk1">
                <a:lumMod val="75000"/>
                <a:lumOff val="25000"/>
              </a:schemeClr>
            </a:solidFill>
            <a:prstDash val="solid"/>
            <a:round/>
          </a:ln>
          <a:effectLst/>
        </c:spPr>
        <c:txPr>
          <a:bodyPr rot="-60000000" spcFirstLastPara="1"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endParaRPr lang="zh-CN"/>
          </a:p>
        </c:txPr>
        <c:crossAx val="75565696"/>
        <c:crosses val="autoZero"/>
        <c:auto val="1"/>
        <c:lblAlgn val="ctr"/>
        <c:lblOffset val="100"/>
      </c:catAx>
      <c:valAx>
        <c:axId val="75565696"/>
        <c:scaling>
          <c:orientation val="minMax"/>
        </c:scaling>
        <c:axPos val="b"/>
        <c:majorGridlines>
          <c:spPr>
            <a:ln w="9525" cap="flat" cmpd="sng" algn="ctr">
              <a:solidFill>
                <a:schemeClr val="dk1">
                  <a:lumMod val="15000"/>
                  <a:lumOff val="85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crossAx val="75564160"/>
        <c:crosses val="max"/>
        <c:crossBetween val="between"/>
      </c:valAx>
      <c:spPr>
        <a:noFill/>
        <a:ln>
          <a:noFill/>
        </a:ln>
        <a:effectLst/>
      </c:spPr>
    </c:plotArea>
    <c:legend>
      <c:legendPos val="b"/>
      <c:layout>
        <c:manualLayout>
          <c:xMode val="edge"/>
          <c:yMode val="edge"/>
          <c:x val="0.36429234099577401"/>
          <c:y val="0.85864142254061759"/>
        </c:manualLayout>
      </c:layout>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chart>
  <c:spPr>
    <a:noFill/>
    <a:ln w="9525" cap="flat" cmpd="sng" algn="ctr">
      <a:noFill/>
      <a:prstDash val="solid"/>
      <a:round/>
    </a:ln>
    <a:effectLst/>
  </c:spPr>
  <c:txPr>
    <a:bodyPr/>
    <a:lstStyle/>
    <a:p>
      <a:pPr>
        <a:defRPr lang="zh-CN"/>
      </a:pPr>
      <a:endParaRPr lang="zh-CN"/>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endParaRPr/>
          </a:p>
        </c:rich>
      </c:tx>
      <c:spPr>
        <a:noFill/>
        <a:ln>
          <a:noFill/>
        </a:ln>
        <a:effectLst/>
      </c:spPr>
    </c:title>
    <c:plotArea>
      <c:layout>
        <c:manualLayout>
          <c:layoutTarget val="inner"/>
          <c:xMode val="edge"/>
          <c:yMode val="edge"/>
          <c:x val="8.1500326899570819E-2"/>
          <c:y val="0.21857367490590596"/>
          <c:w val="0.49118597032321121"/>
          <c:h val="0.66514674571282184"/>
        </c:manualLayout>
      </c:layout>
      <c:pieChart>
        <c:varyColors val="1"/>
        <c:ser>
          <c:idx val="0"/>
          <c:order val="0"/>
          <c:explosion val="12"/>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Pt>
            <c:idx val="5"/>
            <c:spPr>
              <a:solidFill>
                <a:schemeClr val="accent6"/>
              </a:solidFill>
              <a:ln w="25400">
                <a:solidFill>
                  <a:schemeClr val="lt1"/>
                </a:solidFill>
              </a:ln>
              <a:effectLst/>
              <a:sp3d contourW="25400">
                <a:contourClr>
                  <a:schemeClr val="lt1"/>
                </a:contourClr>
              </a:sp3d>
            </c:spPr>
          </c:dPt>
          <c:dLbls>
            <c:dLbl>
              <c:idx val="0"/>
              <c:layout>
                <c:manualLayout>
                  <c:x val="-6.6889632107023419E-3"/>
                  <c:y val="0"/>
                </c:manualLayout>
              </c:layout>
              <c:tx>
                <c:rich>
                  <a:bodyPr/>
                  <a:lstStyle/>
                  <a:p>
                    <a:r>
                      <a:rPr lang="zh-CN" altLang="en-US" sz="1050"/>
                      <a:t>撤销或部分撤销行政行为</a:t>
                    </a:r>
                  </a:p>
                </c:rich>
              </c:tx>
              <c:dLblPos val="bestFit"/>
              <c:showPercent val="1"/>
              <c:extLst>
                <c:ext xmlns:c15="http://schemas.microsoft.com/office/drawing/2012/chart" uri="{CE6537A1-D6FC-4f65-9D91-7224C49458BB}">
                  <c15:layout>
                    <c:manualLayout>
                      <c:w val="0.119509476031215"/>
                      <c:h val="0.203632478632479"/>
                    </c:manualLayout>
                  </c15:layout>
                </c:ext>
              </c:extLst>
            </c:dLbl>
            <c:dLbl>
              <c:idx val="1"/>
              <c:tx>
                <c:rich>
                  <a:bodyPr/>
                  <a:lstStyle/>
                  <a:p>
                    <a:r>
                      <a:rPr lang="zh-CN" altLang="en-US" sz="1050"/>
                      <a:t>确认行政行为违法</a:t>
                    </a:r>
                  </a:p>
                </c:rich>
              </c:tx>
              <c:dLblPos val="outEnd"/>
              <c:showPercent val="1"/>
              <c:extLst>
                <c:ext xmlns:c15="http://schemas.microsoft.com/office/drawing/2012/chart" uri="{CE6537A1-D6FC-4f65-9D91-7224C49458BB}">
                  <c15:layout>
                    <c:manualLayout>
                      <c:w val="0.124749163879599"/>
                      <c:h val="0.177777777777778"/>
                    </c:manualLayout>
                  </c15:layout>
                </c:ext>
              </c:extLst>
            </c:dLbl>
            <c:dLbl>
              <c:idx val="2"/>
              <c:layout>
                <c:manualLayout>
                  <c:x val="-2.04765698782821E-2"/>
                  <c:y val="-1.2820512820512803E-2"/>
                </c:manualLayout>
              </c:layout>
              <c:tx>
                <c:rich>
                  <a:bodyPr/>
                  <a:lstStyle/>
                  <a:p>
                    <a:r>
                      <a:rPr lang="zh-CN" altLang="en-US" sz="1050"/>
                      <a:t>责令履行法定职责</a:t>
                    </a:r>
                  </a:p>
                </c:rich>
              </c:tx>
              <c:dLblPos val="bestFit"/>
              <c:showPercent val="1"/>
              <c:extLst>
                <c:ext xmlns:c15="http://schemas.microsoft.com/office/drawing/2012/chart" uri="{CE6537A1-D6FC-4f65-9D91-7224C49458BB}">
                  <c15:layout>
                    <c:manualLayout>
                      <c:w val="0.129654403567447"/>
                      <c:h val="0.182905982905983"/>
                    </c:manualLayout>
                  </c15:layout>
                </c:ext>
              </c:extLst>
            </c:dLbl>
            <c:dLbl>
              <c:idx val="3"/>
              <c:layout>
                <c:manualLayout>
                  <c:x val="-5.2955074856377099E-2"/>
                  <c:y val="-2.2064612332951809E-2"/>
                </c:manualLayout>
              </c:layout>
              <c:tx>
                <c:rich>
                  <a:bodyPr/>
                  <a:lstStyle/>
                  <a:p>
                    <a:r>
                      <a:rPr lang="zh-CN" altLang="en-US" sz="1050"/>
                      <a:t>确认行政行为无效</a:t>
                    </a:r>
                  </a:p>
                </c:rich>
              </c:tx>
              <c:dLblPos val="bestFit"/>
              <c:showPercent val="1"/>
              <c:extLst>
                <c:ext xmlns:c15="http://schemas.microsoft.com/office/drawing/2012/chart" uri="{CE6537A1-D6FC-4f65-9D91-7224C49458BB}">
                  <c15:layout>
                    <c:manualLayout>
                      <c:w val="0.113600891861761"/>
                      <c:h val="0.149358974358974"/>
                    </c:manualLayout>
                  </c15:layout>
                </c:ext>
              </c:extLst>
            </c:dLbl>
            <c:dLbl>
              <c:idx val="4"/>
              <c:delete val="1"/>
            </c:dLbl>
            <c:dLbl>
              <c:idx val="5"/>
              <c:layout>
                <c:manualLayout>
                  <c:x val="1.8912526734420301E-2"/>
                  <c:y val="-1.8912524856816104E-2"/>
                </c:manualLayout>
              </c:layout>
              <c:tx>
                <c:rich>
                  <a:bodyPr/>
                  <a:lstStyle/>
                  <a:p>
                    <a:r>
                      <a:rPr lang="zh-CN" altLang="en-US" sz="1050"/>
                      <a:t>判决承担赔偿责任</a:t>
                    </a:r>
                  </a:p>
                </c:rich>
              </c:tx>
              <c:dLblPos val="bestFit"/>
              <c:showPercent val="1"/>
              <c:extLst>
                <c:ext xmlns:c15="http://schemas.microsoft.com/office/drawing/2012/chart" uri="{CE6537A1-D6FC-4f65-9D91-7224C49458BB}">
                  <c15:layout>
                    <c:manualLayout>
                      <c:w val="0.113823857302118"/>
                      <c:h val="0.15534188034188"/>
                    </c:manualLayout>
                  </c15:layout>
                </c:ext>
              </c:extLst>
            </c:dLbl>
            <c:spPr>
              <a:noFill/>
              <a:ln>
                <a:noFill/>
              </a:ln>
              <a:effectLst/>
            </c:spPr>
            <c:txPr>
              <a:bodyPr rot="0" spcFirstLastPara="1" vertOverflow="ellipsis" vert="horz" wrap="square" lIns="38100" tIns="19050" rIns="38100" bIns="19050" anchor="ctr" anchorCtr="1">
                <a:spAutoFit/>
              </a:bodyPr>
              <a:lstStyle/>
              <a:p>
                <a:pPr>
                  <a:defRPr lang="zh-CN" sz="1200" b="0" i="0" u="none" strike="noStrike" kern="1200" baseline="0">
                    <a:solidFill>
                      <a:schemeClr val="tx1">
                        <a:lumMod val="75000"/>
                        <a:lumOff val="25000"/>
                      </a:schemeClr>
                    </a:solidFill>
                    <a:latin typeface="+mn-lt"/>
                    <a:ea typeface="+mn-ea"/>
                    <a:cs typeface="+mn-cs"/>
                  </a:defRPr>
                </a:pPr>
                <a:endParaRPr lang="zh-CN"/>
              </a:p>
            </c:txPr>
            <c:dLblPos val="outEnd"/>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表七!$E$11:$E$16</c:f>
              <c:strCache>
                <c:ptCount val="6"/>
                <c:pt idx="0">
                  <c:v>撤销或部分撤销行政行为1222件</c:v>
                </c:pt>
                <c:pt idx="1">
                  <c:v>确认行政行为违法760件</c:v>
                </c:pt>
                <c:pt idx="2">
                  <c:v>责令履行法定职责411件</c:v>
                </c:pt>
                <c:pt idx="3">
                  <c:v>确认行政行为无效46件</c:v>
                </c:pt>
                <c:pt idx="4">
                  <c:v>判决变更行政行为13件</c:v>
                </c:pt>
                <c:pt idx="5">
                  <c:v>判决承担赔偿责任231件</c:v>
                </c:pt>
              </c:strCache>
            </c:strRef>
          </c:cat>
          <c:val>
            <c:numRef>
              <c:f>表七!$F$11:$F$16</c:f>
              <c:numCache>
                <c:formatCode>General</c:formatCode>
                <c:ptCount val="6"/>
                <c:pt idx="0">
                  <c:v>1222</c:v>
                </c:pt>
                <c:pt idx="1">
                  <c:v>760</c:v>
                </c:pt>
                <c:pt idx="2">
                  <c:v>411</c:v>
                </c:pt>
                <c:pt idx="3">
                  <c:v>46</c:v>
                </c:pt>
                <c:pt idx="4">
                  <c:v>13</c:v>
                </c:pt>
                <c:pt idx="5">
                  <c:v>231</c:v>
                </c:pt>
              </c:numCache>
            </c:numRef>
          </c:val>
        </c:ser>
        <c:dLbls>
          <c:showPercent val="1"/>
        </c:dLbls>
        <c:firstSliceAng val="15"/>
      </c:pieChart>
      <c:spPr>
        <a:noFill/>
        <a:ln>
          <a:noFill/>
        </a:ln>
        <a:effectLst/>
      </c:spPr>
    </c:plotArea>
    <c:legend>
      <c:legendPos val="r"/>
      <c:layout>
        <c:manualLayout>
          <c:xMode val="edge"/>
          <c:yMode val="edge"/>
          <c:x val="0.60699110771688825"/>
          <c:y val="0.17056325023084001"/>
          <c:w val="0.37963096586171013"/>
          <c:h val="0.70912266160635684"/>
        </c:manualLayout>
      </c:layout>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endParaRPr/>
          </a:p>
        </c:rich>
      </c:tx>
      <c:spPr>
        <a:noFill/>
        <a:ln>
          <a:noFill/>
        </a:ln>
        <a:effectLst/>
      </c:spPr>
    </c:title>
    <c:plotArea>
      <c:layout>
        <c:manualLayout>
          <c:layoutTarget val="inner"/>
          <c:xMode val="edge"/>
          <c:yMode val="edge"/>
          <c:x val="0.13291691235441205"/>
          <c:y val="0.32434024222308511"/>
          <c:w val="0.4891798168860001"/>
          <c:h val="0.518592422583948"/>
        </c:manualLayout>
      </c:layout>
      <c:pieChart>
        <c:varyColors val="1"/>
        <c:ser>
          <c:idx val="0"/>
          <c:order val="0"/>
          <c:explosion val="12"/>
          <c:dPt>
            <c:idx val="0"/>
            <c:spPr>
              <a:solidFill>
                <a:schemeClr val="accent1"/>
              </a:solidFill>
              <a:ln w="25400">
                <a:solidFill>
                  <a:schemeClr val="lt1"/>
                </a:solidFill>
              </a:ln>
              <a:effectLst/>
              <a:sp3d contourW="25400">
                <a:contourClr>
                  <a:schemeClr val="lt1"/>
                </a:contourClr>
              </a:sp3d>
            </c:spPr>
          </c:dPt>
          <c:dPt>
            <c:idx val="1"/>
            <c:spPr>
              <a:solidFill>
                <a:schemeClr val="accent2"/>
              </a:solidFill>
              <a:ln w="25400">
                <a:solidFill>
                  <a:schemeClr val="lt1"/>
                </a:solidFill>
              </a:ln>
              <a:effectLst/>
              <a:sp3d contourW="25400">
                <a:contourClr>
                  <a:schemeClr val="lt1"/>
                </a:contourClr>
              </a:sp3d>
            </c:spPr>
          </c:dPt>
          <c:dPt>
            <c:idx val="2"/>
            <c:spPr>
              <a:solidFill>
                <a:schemeClr val="accent3"/>
              </a:solidFill>
              <a:ln w="25400">
                <a:solidFill>
                  <a:schemeClr val="lt1"/>
                </a:solidFill>
              </a:ln>
              <a:effectLst/>
              <a:sp3d contourW="25400">
                <a:contourClr>
                  <a:schemeClr val="lt1"/>
                </a:contourClr>
              </a:sp3d>
            </c:spPr>
          </c:dPt>
          <c:dPt>
            <c:idx val="3"/>
            <c:spPr>
              <a:solidFill>
                <a:schemeClr val="accent4"/>
              </a:solidFill>
              <a:ln w="25400">
                <a:solidFill>
                  <a:schemeClr val="lt1"/>
                </a:solidFill>
              </a:ln>
              <a:effectLst/>
              <a:sp3d contourW="25400">
                <a:contourClr>
                  <a:schemeClr val="lt1"/>
                </a:contourClr>
              </a:sp3d>
            </c:spPr>
          </c:dPt>
          <c:dPt>
            <c:idx val="4"/>
            <c:spPr>
              <a:solidFill>
                <a:schemeClr val="accent5"/>
              </a:solidFill>
              <a:ln w="25400">
                <a:solidFill>
                  <a:schemeClr val="lt1"/>
                </a:solidFill>
              </a:ln>
              <a:effectLst/>
              <a:sp3d contourW="25400">
                <a:contourClr>
                  <a:schemeClr val="lt1"/>
                </a:contourClr>
              </a:sp3d>
            </c:spPr>
          </c:dPt>
          <c:dPt>
            <c:idx val="5"/>
            <c:spPr>
              <a:solidFill>
                <a:schemeClr val="accent6"/>
              </a:solidFill>
              <a:ln w="25400">
                <a:solidFill>
                  <a:schemeClr val="lt1"/>
                </a:solidFill>
              </a:ln>
              <a:effectLst/>
              <a:sp3d contourW="25400">
                <a:contourClr>
                  <a:schemeClr val="lt1"/>
                </a:contourClr>
              </a:sp3d>
            </c:spPr>
          </c:dPt>
          <c:dPt>
            <c:idx val="6"/>
            <c:spPr>
              <a:solidFill>
                <a:schemeClr val="accent1">
                  <a:lumMod val="60000"/>
                </a:schemeClr>
              </a:solidFill>
              <a:ln w="25400">
                <a:solidFill>
                  <a:schemeClr val="lt1"/>
                </a:solidFill>
              </a:ln>
              <a:effectLst/>
              <a:sp3d contourW="25400">
                <a:contourClr>
                  <a:schemeClr val="lt1"/>
                </a:contourClr>
              </a:sp3d>
            </c:spPr>
          </c:dPt>
          <c:dLbls>
            <c:dLbl>
              <c:idx val="0"/>
              <c:layout>
                <c:manualLayout>
                  <c:x val="-0.23046047729466004"/>
                  <c:y val="-0.10409519437873103"/>
                </c:manualLayout>
              </c:layout>
              <c:tx>
                <c:rich>
                  <a:bodyPr/>
                  <a:lstStyle/>
                  <a:p>
                    <a:r>
                      <a:rPr lang="zh-CN" altLang="en-US"/>
                      <a:t>省政府</a:t>
                    </a:r>
                  </a:p>
                </c:rich>
              </c:tx>
              <c:dLblPos val="bestFit"/>
              <c:showCatName val="1"/>
              <c:extLst>
                <c:ext xmlns:c15="http://schemas.microsoft.com/office/drawing/2012/chart" uri="{CE6537A1-D6FC-4f65-9D91-7224C49458BB}">
                  <c15:layout/>
                </c:ext>
              </c:extLst>
            </c:dLbl>
            <c:dLbl>
              <c:idx val="1"/>
              <c:layout>
                <c:manualLayout>
                  <c:x val="-5.378675125277161E-2"/>
                  <c:y val="-0.102121817732425"/>
                </c:manualLayout>
              </c:layout>
              <c:tx>
                <c:rich>
                  <a:bodyPr/>
                  <a:lstStyle/>
                  <a:p>
                    <a:r>
                      <a:rPr lang="zh-CN" altLang="en-US"/>
                      <a:t>省级部门</a:t>
                    </a:r>
                  </a:p>
                </c:rich>
              </c:tx>
              <c:dLblPos val="bestFit"/>
              <c:showCatName val="1"/>
              <c:extLst>
                <c:ext xmlns:c15="http://schemas.microsoft.com/office/drawing/2012/chart" uri="{CE6537A1-D6FC-4f65-9D91-7224C49458BB}">
                  <c15:layout/>
                </c:ext>
              </c:extLst>
            </c:dLbl>
            <c:dLbl>
              <c:idx val="2"/>
              <c:tx>
                <c:rich>
                  <a:bodyPr/>
                  <a:lstStyle/>
                  <a:p>
                    <a:r>
                      <a:rPr lang="zh-CN" altLang="en-US"/>
                      <a:t>市级政府</a:t>
                    </a:r>
                  </a:p>
                </c:rich>
              </c:tx>
              <c:dLblPos val="bestFit"/>
              <c:showCatName val="1"/>
              <c:extLst>
                <c:ext xmlns:c15="http://schemas.microsoft.com/office/drawing/2012/chart" uri="{CE6537A1-D6FC-4f65-9D91-7224C49458BB}"/>
              </c:extLst>
            </c:dLbl>
            <c:dLbl>
              <c:idx val="3"/>
              <c:layout>
                <c:manualLayout>
                  <c:x val="5.4991648196636114E-2"/>
                  <c:y val="2.3360757035415398E-4"/>
                </c:manualLayout>
              </c:layout>
              <c:tx>
                <c:rich>
                  <a:bodyPr/>
                  <a:lstStyle/>
                  <a:p>
                    <a:r>
                      <a:rPr lang="zh-CN" altLang="en-US"/>
                      <a:t>市级政府部门</a:t>
                    </a:r>
                  </a:p>
                </c:rich>
              </c:tx>
              <c:dLblPos val="bestFit"/>
              <c:showCatName val="1"/>
              <c:extLst>
                <c:ext xmlns:c15="http://schemas.microsoft.com/office/drawing/2012/chart" uri="{CE6537A1-D6FC-4f65-9D91-7224C49458BB}">
                  <c15:layout/>
                </c:ext>
              </c:extLst>
            </c:dLbl>
            <c:dLbl>
              <c:idx val="4"/>
              <c:layout>
                <c:manualLayout>
                  <c:x val="-7.4658724725357409E-2"/>
                  <c:y val="0.18326650597216806"/>
                </c:manualLayout>
              </c:layout>
              <c:tx>
                <c:rich>
                  <a:bodyPr/>
                  <a:lstStyle/>
                  <a:p>
                    <a:r>
                      <a:rPr lang="zh-CN" altLang="en-US"/>
                      <a:t>县级政府</a:t>
                    </a:r>
                  </a:p>
                </c:rich>
              </c:tx>
              <c:dLblPos val="bestFit"/>
              <c:showCatName val="1"/>
              <c:extLst>
                <c:ext xmlns:c15="http://schemas.microsoft.com/office/drawing/2012/chart" uri="{CE6537A1-D6FC-4f65-9D91-7224C49458BB}">
                  <c15:layout/>
                </c:ext>
              </c:extLst>
            </c:dLbl>
            <c:dLbl>
              <c:idx val="5"/>
              <c:layout>
                <c:manualLayout>
                  <c:x val="-3.1075913247420817E-2"/>
                  <c:y val="-1.3456022033120301E-2"/>
                </c:manualLayout>
              </c:layout>
              <c:tx>
                <c:rich>
                  <a:bodyPr/>
                  <a:lstStyle/>
                  <a:p>
                    <a:r>
                      <a:rPr lang="zh-CN" altLang="en-US"/>
                      <a:t>县级政府部门</a:t>
                    </a:r>
                  </a:p>
                </c:rich>
              </c:tx>
              <c:dLblPos val="bestFit"/>
              <c:showCatName val="1"/>
              <c:extLst>
                <c:ext xmlns:c15="http://schemas.microsoft.com/office/drawing/2012/chart" uri="{CE6537A1-D6FC-4f65-9D91-7224C49458BB}">
                  <c15:layout/>
                </c:ext>
              </c:extLst>
            </c:dLbl>
            <c:dLbl>
              <c:idx val="6"/>
              <c:layout>
                <c:manualLayout>
                  <c:x val="2.9448436798514112E-3"/>
                  <c:y val="-2.2945543295620409E-2"/>
                </c:manualLayout>
              </c:layout>
              <c:tx>
                <c:rich>
                  <a:bodyPr/>
                  <a:lstStyle/>
                  <a:p>
                    <a:r>
                      <a:rPr lang="zh-CN" altLang="en-US"/>
                      <a:t>乡镇政府</a:t>
                    </a:r>
                  </a:p>
                </c:rich>
              </c:tx>
              <c:dLblPos val="bestFit"/>
              <c:showCatName val="1"/>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1100" b="0" i="0" u="none" strike="noStrike" kern="1200" baseline="0">
                    <a:solidFill>
                      <a:schemeClr val="tx1">
                        <a:lumMod val="75000"/>
                        <a:lumOff val="25000"/>
                      </a:schemeClr>
                    </a:solidFill>
                    <a:latin typeface="+mn-lt"/>
                    <a:ea typeface="+mn-ea"/>
                    <a:cs typeface="+mn-cs"/>
                  </a:defRPr>
                </a:pPr>
                <a:endParaRPr lang="zh-CN"/>
              </a:p>
            </c:txPr>
            <c:dLblPos val="bestFit"/>
            <c:showCatName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表八!$L$12:$L$18</c:f>
              <c:strCache>
                <c:ptCount val="7"/>
                <c:pt idx="0">
                  <c:v>省政府12件</c:v>
                </c:pt>
                <c:pt idx="1">
                  <c:v>省级部门14件</c:v>
                </c:pt>
                <c:pt idx="2">
                  <c:v>市级政府121件</c:v>
                </c:pt>
                <c:pt idx="3">
                  <c:v>市级政府部门315件</c:v>
                </c:pt>
                <c:pt idx="4">
                  <c:v>县级政府690件</c:v>
                </c:pt>
                <c:pt idx="5">
                  <c:v>县级政府部门780件</c:v>
                </c:pt>
                <c:pt idx="6">
                  <c:v>乡镇政府751件</c:v>
                </c:pt>
              </c:strCache>
            </c:strRef>
          </c:cat>
          <c:val>
            <c:numRef>
              <c:f>表八!$M$12:$M$18</c:f>
              <c:numCache>
                <c:formatCode>General</c:formatCode>
                <c:ptCount val="7"/>
                <c:pt idx="0">
                  <c:v>12</c:v>
                </c:pt>
                <c:pt idx="1">
                  <c:v>14</c:v>
                </c:pt>
                <c:pt idx="2">
                  <c:v>121</c:v>
                </c:pt>
                <c:pt idx="3">
                  <c:v>315</c:v>
                </c:pt>
                <c:pt idx="4">
                  <c:v>690</c:v>
                </c:pt>
                <c:pt idx="5">
                  <c:v>780</c:v>
                </c:pt>
                <c:pt idx="6">
                  <c:v>751</c:v>
                </c:pt>
              </c:numCache>
            </c:numRef>
          </c:val>
        </c:ser>
        <c:dLbls>
          <c:showCatName val="1"/>
        </c:dLbls>
        <c:firstSliceAng val="15"/>
      </c:pieChart>
      <c:spPr>
        <a:noFill/>
        <a:ln>
          <a:noFill/>
        </a:ln>
        <a:effectLst/>
      </c:spPr>
    </c:plotArea>
    <c:legend>
      <c:legendPos val="r"/>
      <c:spPr>
        <a:noFill/>
        <a:ln>
          <a:noFill/>
        </a:ln>
        <a:effectLst/>
      </c:spPr>
      <c:txPr>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clrMapOvr bg1="lt1" tx1="dk1" bg2="lt2" tx2="dk2" accent1="accent1" accent2="accent2" accent3="accent3" accent4="accent4" accent5="accent5" accent6="accent6" hlink="hlink" folHlink="folHlink"/>
  <c:chart>
    <c:title>
      <c:tx>
        <c:rich>
          <a:bodyPr/>
          <a:lstStyle/>
          <a:p>
            <a:pPr>
              <a:defRPr/>
            </a:pPr>
            <a:endParaRPr/>
          </a:p>
        </c:rich>
      </c:tx>
      <c:spPr>
        <a:noFill/>
        <a:ln>
          <a:noFill/>
        </a:ln>
        <a:effectLst/>
      </c:spPr>
    </c:title>
    <c:plotArea>
      <c:layout>
        <c:manualLayout>
          <c:layoutTarget val="inner"/>
          <c:xMode val="edge"/>
          <c:yMode val="edge"/>
          <c:x val="4.0138169257340234E-2"/>
          <c:y val="0.14807534807534806"/>
          <c:w val="0.91265400115141004"/>
          <c:h val="0.48573300573300593"/>
        </c:manualLayout>
      </c:layout>
      <c:barChart>
        <c:barDir val="col"/>
        <c:grouping val="clustered"/>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dLbl>
              <c:idx val="0"/>
              <c:tx>
                <c:rich>
                  <a:bodyPr/>
                  <a:lstStyle/>
                  <a:p>
                    <a:r>
                      <a:rPr lang="en-US" altLang="en-US"/>
                      <a:t>411</a:t>
                    </a:r>
                  </a:p>
                </c:rich>
              </c:tx>
              <c:dLblPos val="outEnd"/>
              <c:showVal val="1"/>
              <c:extLst>
                <c:ext xmlns:c15="http://schemas.microsoft.com/office/drawing/2012/chart" uri="{CE6537A1-D6FC-4f65-9D91-7224C49458BB}"/>
              </c:extLst>
            </c:dLbl>
            <c:dLbl>
              <c:idx val="1"/>
              <c:tx>
                <c:rich>
                  <a:bodyPr/>
                  <a:lstStyle/>
                  <a:p>
                    <a:r>
                      <a:rPr lang="en-US" altLang="en-US"/>
                      <a:t>375</a:t>
                    </a:r>
                  </a:p>
                </c:rich>
              </c:tx>
              <c:dLblPos val="outEnd"/>
              <c:showVal val="1"/>
              <c:extLst>
                <c:ext xmlns:c15="http://schemas.microsoft.com/office/drawing/2012/chart" uri="{CE6537A1-D6FC-4f65-9D91-7224C49458BB}"/>
              </c:extLst>
            </c:dLbl>
            <c:dLbl>
              <c:idx val="4"/>
              <c:tx>
                <c:rich>
                  <a:bodyPr/>
                  <a:lstStyle/>
                  <a:p>
                    <a:r>
                      <a:rPr lang="en-US" altLang="en-US"/>
                      <a:t>216</a:t>
                    </a:r>
                  </a:p>
                </c:rich>
              </c:tx>
              <c:dLblPos val="outEnd"/>
              <c:showVal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1400" b="0" i="0" u="none" strike="noStrike" kern="1200" baseline="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lt1">
                          <a:lumMod val="95000"/>
                          <a:alpha val="54000"/>
                        </a:schemeClr>
                      </a:solidFill>
                      <a:prstDash val="solid"/>
                      <a:round/>
                    </a:ln>
                    <a:effectLst/>
                  </c:spPr>
                </c15:leaderLines>
              </c:ext>
            </c:extLst>
          </c:dLbls>
          <c:cat>
            <c:strRef>
              <c:f>表四!$E$1:$E$9</c:f>
              <c:strCache>
                <c:ptCount val="8"/>
                <c:pt idx="0">
                  <c:v>违法建筑拆除</c:v>
                </c:pt>
                <c:pt idx="1">
                  <c:v>因土地征收产生的强制拆除 </c:v>
                </c:pt>
                <c:pt idx="2">
                  <c:v>劳动和社会保障</c:v>
                </c:pt>
                <c:pt idx="3">
                  <c:v>集体土地征收</c:v>
                </c:pt>
                <c:pt idx="4">
                  <c:v>国有土地上房屋征收 </c:v>
                </c:pt>
                <c:pt idx="5">
                  <c:v>公安行政</c:v>
                </c:pt>
                <c:pt idx="6">
                  <c:v>因房屋征收产生的强制拆除</c:v>
                </c:pt>
                <c:pt idx="7">
                  <c:v>工商管理</c:v>
                </c:pt>
              </c:strCache>
            </c:strRef>
          </c:cat>
          <c:val>
            <c:numRef>
              <c:f>表四!$F$1:$F$9</c:f>
              <c:numCache>
                <c:formatCode>General</c:formatCode>
                <c:ptCount val="9"/>
                <c:pt idx="0">
                  <c:v>311</c:v>
                </c:pt>
                <c:pt idx="1">
                  <c:v>275</c:v>
                </c:pt>
                <c:pt idx="2">
                  <c:v>236</c:v>
                </c:pt>
                <c:pt idx="3">
                  <c:v>234</c:v>
                </c:pt>
                <c:pt idx="4">
                  <c:v>179</c:v>
                </c:pt>
                <c:pt idx="5">
                  <c:v>167</c:v>
                </c:pt>
                <c:pt idx="6">
                  <c:v>142</c:v>
                </c:pt>
                <c:pt idx="7">
                  <c:v>137</c:v>
                </c:pt>
              </c:numCache>
            </c:numRef>
          </c:val>
        </c:ser>
        <c:dLbls>
          <c:showVal val="1"/>
        </c:dLbls>
        <c:axId val="54393472"/>
        <c:axId val="76222848"/>
      </c:barChart>
      <c:catAx>
        <c:axId val="54393472"/>
        <c:scaling>
          <c:orientation val="minMax"/>
        </c:scaling>
        <c:axPos val="b"/>
        <c:numFmt formatCode="General" sourceLinked="1"/>
        <c:majorTickMark val="none"/>
        <c:tickLblPos val="nextTo"/>
        <c:spPr>
          <a:noFill/>
          <a:ln w="9525" cap="flat" cmpd="sng" algn="ctr">
            <a:noFill/>
            <a:prstDash val="solid"/>
            <a:round/>
          </a:ln>
          <a:effectLst/>
        </c:spPr>
        <c:txPr>
          <a:bodyPr rot="0" spcFirstLastPara="1" vertOverflow="ellipsis" vert="eaVert"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76222848"/>
        <c:crosses val="autoZero"/>
        <c:auto val="1"/>
        <c:lblAlgn val="ctr"/>
        <c:lblOffset val="100"/>
      </c:catAx>
      <c:valAx>
        <c:axId val="76222848"/>
        <c:scaling>
          <c:orientation val="minMax"/>
        </c:scaling>
        <c:axPos val="l"/>
        <c:majorGridlines>
          <c:spPr>
            <a:ln w="9525" cap="flat" cmpd="sng" algn="ctr">
              <a:solidFill>
                <a:schemeClr val="dk1">
                  <a:lumMod val="50000"/>
                  <a:lumOff val="50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54393472"/>
        <c:crosses val="autoZero"/>
        <c:crossBetween val="between"/>
      </c:valAx>
      <c:spPr>
        <a:noFill/>
        <a:ln>
          <a:noFill/>
        </a:ln>
        <a:effectLst/>
      </c:spPr>
    </c:plotArea>
    <c:plotVisOnly val="1"/>
    <c:dispBlanksAs val="gap"/>
  </c:chart>
  <c:spPr>
    <a:solidFill>
      <a:sysClr val="window" lastClr="FFFFFF"/>
    </a:solidFill>
    <a:ln w="9525" cap="flat" cmpd="sng" algn="ctr">
      <a:noFill/>
      <a:prstDash val="solid"/>
      <a:round/>
    </a:ln>
    <a:effectLst/>
  </c:spPr>
  <c:txPr>
    <a:bodyPr/>
    <a:lstStyle/>
    <a:p>
      <a:pPr>
        <a:defRPr lang="zh-CN">
          <a:solidFill>
            <a:sysClr val="windowText" lastClr="000000"/>
          </a:solidFill>
        </a:defRPr>
      </a:pPr>
      <a:endParaRPr lang="zh-CN"/>
    </a:p>
  </c:txPr>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Lbls>
            <c:spPr>
              <a:noFill/>
              <a:ln>
                <a:noFill/>
              </a:ln>
              <a:effectLst/>
            </c:spPr>
            <c:txPr>
              <a:bodyPr rot="0" spcFirstLastPara="1" vertOverflow="ellipsis" vert="horz" wrap="square" lIns="38100" tIns="19050" rIns="38100" bIns="19050" anchor="ctr" anchorCtr="1">
                <a:spAutoFit/>
              </a:bodyPr>
              <a:lstStyle/>
              <a:p>
                <a:pPr>
                  <a:defRPr lang="zh-CN" sz="1800" b="0" i="0" u="none" strike="noStrike" kern="1200" baseline="0">
                    <a:solidFill>
                      <a:sysClr val="windowText" lastClr="000000"/>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lt1">
                          <a:lumMod val="95000"/>
                          <a:alpha val="54000"/>
                        </a:schemeClr>
                      </a:solidFill>
                      <a:prstDash val="solid"/>
                      <a:round/>
                    </a:ln>
                    <a:effectLst/>
                  </c:spPr>
                </c15:leaderLines>
              </c:ext>
            </c:extLst>
          </c:dLbls>
          <c:cat>
            <c:strRef>
              <c:f>表五!$C$1:$C$7</c:f>
              <c:strCache>
                <c:ptCount val="7"/>
                <c:pt idx="0">
                  <c:v>行政强制 </c:v>
                </c:pt>
                <c:pt idx="1">
                  <c:v>要求履行法定职责</c:v>
                </c:pt>
                <c:pt idx="2">
                  <c:v>行政登记</c:v>
                </c:pt>
                <c:pt idx="3">
                  <c:v>行政征收</c:v>
                </c:pt>
                <c:pt idx="4">
                  <c:v>政府信息公开</c:v>
                </c:pt>
                <c:pt idx="5">
                  <c:v>行政处罚</c:v>
                </c:pt>
                <c:pt idx="6">
                  <c:v>行政复议</c:v>
                </c:pt>
              </c:strCache>
            </c:strRef>
          </c:cat>
          <c:val>
            <c:numRef>
              <c:f>表五!$D$1:$D$7</c:f>
              <c:numCache>
                <c:formatCode>General</c:formatCode>
                <c:ptCount val="7"/>
                <c:pt idx="0">
                  <c:v>610</c:v>
                </c:pt>
                <c:pt idx="1">
                  <c:v>406</c:v>
                </c:pt>
                <c:pt idx="2">
                  <c:v>381</c:v>
                </c:pt>
                <c:pt idx="3">
                  <c:v>313</c:v>
                </c:pt>
                <c:pt idx="4">
                  <c:v>280</c:v>
                </c:pt>
                <c:pt idx="5">
                  <c:v>251</c:v>
                </c:pt>
                <c:pt idx="6">
                  <c:v>150</c:v>
                </c:pt>
              </c:numCache>
            </c:numRef>
          </c:val>
        </c:ser>
        <c:dLbls>
          <c:showVal val="1"/>
        </c:dLbls>
        <c:axId val="115060736"/>
        <c:axId val="115062272"/>
      </c:barChart>
      <c:catAx>
        <c:axId val="115060736"/>
        <c:scaling>
          <c:orientation val="minMax"/>
        </c:scaling>
        <c:axPos val="b"/>
        <c:numFmt formatCode="General" sourceLinked="1"/>
        <c:majorTickMark val="none"/>
        <c:tickLblPos val="nextTo"/>
        <c:spPr>
          <a:noFill/>
          <a:ln w="9525" cap="flat" cmpd="sng" algn="ctr">
            <a:noFill/>
            <a:prstDash val="solid"/>
            <a:round/>
          </a:ln>
          <a:effectLst/>
        </c:spPr>
        <c:txPr>
          <a:bodyPr rot="0" spcFirstLastPara="1" vertOverflow="ellipsis" vert="eaVert" wrap="square" anchor="ctr" anchorCtr="1"/>
          <a:lstStyle/>
          <a:p>
            <a:pPr>
              <a:defRPr lang="zh-CN" sz="1100" b="0" i="0" u="none" strike="noStrike" kern="1200" baseline="0">
                <a:solidFill>
                  <a:sysClr val="windowText" lastClr="000000"/>
                </a:solidFill>
                <a:latin typeface="+mn-lt"/>
                <a:ea typeface="+mn-ea"/>
                <a:cs typeface="+mn-cs"/>
              </a:defRPr>
            </a:pPr>
            <a:endParaRPr lang="zh-CN"/>
          </a:p>
        </c:txPr>
        <c:crossAx val="115062272"/>
        <c:crosses val="autoZero"/>
        <c:auto val="1"/>
        <c:lblAlgn val="ctr"/>
        <c:lblOffset val="100"/>
      </c:catAx>
      <c:valAx>
        <c:axId val="115062272"/>
        <c:scaling>
          <c:orientation val="minMax"/>
        </c:scaling>
        <c:axPos val="l"/>
        <c:majorGridlines>
          <c:spPr>
            <a:ln w="9525" cap="flat" cmpd="sng" algn="ctr">
              <a:solidFill>
                <a:schemeClr val="dk1">
                  <a:lumMod val="50000"/>
                  <a:lumOff val="50000"/>
                </a:schemeClr>
              </a:solidFill>
              <a:prstDash val="solid"/>
              <a:round/>
            </a:ln>
            <a:effectLst/>
          </c:spPr>
        </c:majorGridlines>
        <c:numFmt formatCode="General" sourceLinked="1"/>
        <c:maj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ysClr val="windowText" lastClr="000000"/>
                </a:solidFill>
                <a:latin typeface="+mn-lt"/>
                <a:ea typeface="+mn-ea"/>
                <a:cs typeface="+mn-cs"/>
              </a:defRPr>
            </a:pPr>
            <a:endParaRPr lang="zh-CN"/>
          </a:p>
        </c:txPr>
        <c:crossAx val="115060736"/>
        <c:crosses val="autoZero"/>
        <c:crossBetween val="between"/>
      </c:valAx>
      <c:spPr>
        <a:noFill/>
        <a:ln>
          <a:noFill/>
        </a:ln>
        <a:effectLst/>
      </c:spPr>
    </c:plotArea>
    <c:plotVisOnly val="1"/>
    <c:dispBlanksAs val="gap"/>
  </c:chart>
  <c:spPr>
    <a:solidFill>
      <a:schemeClr val="bg1"/>
    </a:solidFill>
    <a:ln w="9525" cap="flat" cmpd="sng" algn="ctr">
      <a:noFill/>
      <a:prstDash val="solid"/>
      <a:round/>
    </a:ln>
    <a:effectLst/>
  </c:spPr>
  <c:txPr>
    <a:bodyPr/>
    <a:lstStyle/>
    <a:p>
      <a:pPr>
        <a:defRPr lang="zh-CN">
          <a:solidFill>
            <a:sysClr val="windowText" lastClr="000000"/>
          </a:solidFill>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8DDF7-3B0B-4A90-B99F-EA28B2CE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21</Pages>
  <Words>1351</Words>
  <Characters>7703</Characters>
  <Application>Microsoft Office Word</Application>
  <DocSecurity>0</DocSecurity>
  <Lines>64</Lines>
  <Paragraphs>18</Paragraphs>
  <ScaleCrop>false</ScaleCrop>
  <Company>Microsoft</Company>
  <LinksUpToDate>false</LinksUpToDate>
  <CharactersWithSpaces>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任权</dc:creator>
  <cp:lastModifiedBy>任权</cp:lastModifiedBy>
  <cp:revision>20</cp:revision>
  <cp:lastPrinted>2019-05-16T03:17:00Z</cp:lastPrinted>
  <dcterms:created xsi:type="dcterms:W3CDTF">2019-05-15T07:29:00Z</dcterms:created>
  <dcterms:modified xsi:type="dcterms:W3CDTF">2019-05-23T06:40:00Z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2052-11.3.0.8586</vt:lpwstr>
  </property>
</Properties>
</file>